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B4E8B" w14:textId="58695934" w:rsidR="00E24BCC" w:rsidRDefault="00E24BCC" w:rsidP="00E24BCC">
      <w:pPr>
        <w:pStyle w:val="3GPPHeader"/>
        <w:spacing w:after="60"/>
        <w:rPr>
          <w:sz w:val="32"/>
          <w:szCs w:val="32"/>
          <w:highlight w:val="yellow"/>
        </w:rPr>
      </w:pPr>
      <w:r>
        <w:t>3GPP TSG-RAN WG2 #95bis</w:t>
      </w:r>
      <w:r>
        <w:tab/>
      </w:r>
      <w:r>
        <w:rPr>
          <w:sz w:val="32"/>
          <w:szCs w:val="32"/>
        </w:rPr>
        <w:t xml:space="preserve">Tdoc </w:t>
      </w:r>
      <w:r w:rsidR="0089731A" w:rsidRPr="0089731A">
        <w:rPr>
          <w:sz w:val="32"/>
          <w:szCs w:val="32"/>
        </w:rPr>
        <w:t>R2-166819</w:t>
      </w:r>
    </w:p>
    <w:p w14:paraId="3D10F3DA" w14:textId="77777777" w:rsidR="00E24BCC" w:rsidRDefault="00E24BCC" w:rsidP="00E24BCC">
      <w:pPr>
        <w:pStyle w:val="CRCoverPage"/>
        <w:outlineLvl w:val="0"/>
        <w:rPr>
          <w:b/>
          <w:noProof/>
          <w:sz w:val="24"/>
        </w:rPr>
      </w:pPr>
      <w:r>
        <w:rPr>
          <w:b/>
          <w:noProof/>
          <w:sz w:val="24"/>
        </w:rPr>
        <w:t>Kaohsiung, Taiwan,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2016</w:t>
      </w:r>
    </w:p>
    <w:p w14:paraId="1DDF68C1" w14:textId="77FCEF99" w:rsidR="0089731A" w:rsidRPr="008D1C57" w:rsidRDefault="0089731A" w:rsidP="00311702">
      <w:pPr>
        <w:pStyle w:val="3GPPHeader"/>
        <w:rPr>
          <w:sz w:val="16"/>
          <w:szCs w:val="22"/>
        </w:rPr>
      </w:pPr>
    </w:p>
    <w:p w14:paraId="761ECF62" w14:textId="23AA3AB8" w:rsidR="00F76B62" w:rsidRPr="004F41A4" w:rsidRDefault="00E90E49" w:rsidP="00F76B62">
      <w:pPr>
        <w:pStyle w:val="3GPPHeader"/>
        <w:rPr>
          <w:sz w:val="22"/>
          <w:lang w:val="en-US"/>
        </w:rPr>
      </w:pPr>
      <w:r w:rsidRPr="007E5F0A">
        <w:rPr>
          <w:sz w:val="22"/>
          <w:szCs w:val="22"/>
          <w:lang w:val="en-US"/>
        </w:rPr>
        <w:t xml:space="preserve">Agenda </w:t>
      </w:r>
      <w:r w:rsidRPr="008D1C57">
        <w:rPr>
          <w:sz w:val="22"/>
          <w:szCs w:val="22"/>
          <w:lang w:val="en-US"/>
        </w:rPr>
        <w:t>Item:</w:t>
      </w:r>
      <w:r w:rsidRPr="008D1C57">
        <w:rPr>
          <w:sz w:val="22"/>
          <w:szCs w:val="22"/>
          <w:lang w:val="en-US"/>
        </w:rPr>
        <w:tab/>
      </w:r>
      <w:r w:rsidR="00F76B62" w:rsidRPr="008D1C57">
        <w:rPr>
          <w:sz w:val="22"/>
          <w:lang w:val="en-US"/>
        </w:rPr>
        <w:t>9.</w:t>
      </w:r>
      <w:r w:rsidR="009C0F7E" w:rsidRPr="008D1C57">
        <w:rPr>
          <w:sz w:val="22"/>
          <w:szCs w:val="22"/>
          <w:lang w:val="en-US"/>
        </w:rPr>
        <w:t>4 – NR – Other</w:t>
      </w:r>
      <w:r w:rsidR="009C0F7E">
        <w:rPr>
          <w:sz w:val="22"/>
          <w:szCs w:val="22"/>
          <w:lang w:val="en-US"/>
        </w:rPr>
        <w:t xml:space="preserve"> </w:t>
      </w:r>
    </w:p>
    <w:p w14:paraId="7F72487D" w14:textId="72B86AA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53EA94" w14:textId="009EC8D1" w:rsidR="00E90E49" w:rsidRPr="00CE0424" w:rsidRDefault="003D3C45" w:rsidP="00311702">
      <w:pPr>
        <w:pStyle w:val="3GPPHeader"/>
        <w:rPr>
          <w:sz w:val="22"/>
          <w:szCs w:val="22"/>
        </w:rPr>
      </w:pPr>
      <w:r>
        <w:rPr>
          <w:sz w:val="22"/>
          <w:szCs w:val="22"/>
        </w:rPr>
        <w:t>Title:</w:t>
      </w:r>
      <w:r w:rsidR="00E90E49" w:rsidRPr="00CE0424">
        <w:rPr>
          <w:sz w:val="22"/>
          <w:szCs w:val="22"/>
        </w:rPr>
        <w:tab/>
      </w:r>
      <w:r w:rsidR="009C0F7E">
        <w:rPr>
          <w:sz w:val="22"/>
          <w:szCs w:val="22"/>
        </w:rPr>
        <w:t xml:space="preserve">Future compatibility for operating </w:t>
      </w:r>
      <w:r w:rsidR="008E7BF5" w:rsidRPr="008E7BF5">
        <w:rPr>
          <w:sz w:val="22"/>
          <w:szCs w:val="22"/>
        </w:rPr>
        <w:t>NR in unlicensed spectrum</w:t>
      </w:r>
    </w:p>
    <w:p w14:paraId="545B23AE" w14:textId="046BA7C0" w:rsidR="00E90E49" w:rsidRDefault="00E90E49" w:rsidP="00D546FF">
      <w:pPr>
        <w:pStyle w:val="3GPPHeader"/>
        <w:rPr>
          <w:sz w:val="22"/>
          <w:szCs w:val="22"/>
        </w:rPr>
      </w:pPr>
      <w:r w:rsidRPr="000C6956">
        <w:rPr>
          <w:sz w:val="22"/>
          <w:szCs w:val="22"/>
        </w:rPr>
        <w:t>Document for:</w:t>
      </w:r>
      <w:r w:rsidRPr="000C6956">
        <w:rPr>
          <w:sz w:val="22"/>
          <w:szCs w:val="22"/>
        </w:rPr>
        <w:tab/>
        <w:t>Discussion, Decision</w:t>
      </w:r>
    </w:p>
    <w:p w14:paraId="310F2846" w14:textId="77777777" w:rsidR="0089731A" w:rsidRPr="00CE0424" w:rsidRDefault="0089731A" w:rsidP="00D546FF">
      <w:pPr>
        <w:pStyle w:val="3GPPHeader"/>
        <w:rPr>
          <w:sz w:val="22"/>
          <w:szCs w:val="22"/>
        </w:rPr>
      </w:pPr>
    </w:p>
    <w:p w14:paraId="60C37886" w14:textId="77777777" w:rsidR="00E90E49" w:rsidRPr="00CE0424" w:rsidRDefault="00E90E49" w:rsidP="00CE0424">
      <w:pPr>
        <w:pStyle w:val="Heading1"/>
      </w:pPr>
      <w:r w:rsidRPr="00CE0424">
        <w:t>Introduction</w:t>
      </w:r>
    </w:p>
    <w:p w14:paraId="0783E11F" w14:textId="24CBAF01" w:rsidR="00CE418F" w:rsidRDefault="00CE418F" w:rsidP="00E13026">
      <w:pPr>
        <w:pStyle w:val="BodyText"/>
      </w:pPr>
      <w:r>
        <w:t>At RAN-73 it was decided to down-prioritize support of unlicensed spectrum</w:t>
      </w:r>
      <w:r w:rsidR="00F403B7">
        <w:t xml:space="preserve"> in the NR study until March 2017</w:t>
      </w:r>
      <w:r>
        <w:t xml:space="preserve">. Nevertheless, future compatibility for support of unlicensed spectrum shall be verified and confirmed. </w:t>
      </w:r>
    </w:p>
    <w:p w14:paraId="08A60B44" w14:textId="2CE81D5F" w:rsidR="0007400E" w:rsidRDefault="00406C8D" w:rsidP="00E13026">
      <w:pPr>
        <w:pStyle w:val="BodyText"/>
      </w:pPr>
      <w:r>
        <w:t xml:space="preserve">In this paper we </w:t>
      </w:r>
      <w:r w:rsidR="00F403B7">
        <w:t xml:space="preserve">therefore </w:t>
      </w:r>
      <w:r>
        <w:t xml:space="preserve">analyse the impact of operating NR in unlicensed spectrum and observe that the basic design principles </w:t>
      </w:r>
      <w:r w:rsidR="0002703A">
        <w:t xml:space="preserve">for enabling </w:t>
      </w:r>
      <w:r>
        <w:t xml:space="preserve">LAA </w:t>
      </w:r>
      <w:r w:rsidR="0002703A">
        <w:t xml:space="preserve">in LTE have also been adopted for NR (e.g. Asynchronous HARQ, </w:t>
      </w:r>
      <w:r w:rsidR="00CC7446">
        <w:t xml:space="preserve">dynamic UL/DL </w:t>
      </w:r>
      <w:r w:rsidR="0002703A">
        <w:t>allocation, …)</w:t>
      </w:r>
      <w:r>
        <w:t xml:space="preserve">. </w:t>
      </w:r>
      <w:r w:rsidR="0020772D">
        <w:t xml:space="preserve">But besides this, </w:t>
      </w:r>
      <w:r>
        <w:t xml:space="preserve">NR will benefit from the reduced processing latency, from the possibility to operate with other numerologies and from a more flexible subframe structure and therefore operate even more efficient in unlicensed spectrum. </w:t>
      </w:r>
    </w:p>
    <w:p w14:paraId="5FBB9F93" w14:textId="57E56263" w:rsidR="00F403B7" w:rsidRDefault="00F403B7" w:rsidP="00E13026">
      <w:pPr>
        <w:pStyle w:val="BodyText"/>
      </w:pPr>
      <w:r>
        <w:t xml:space="preserve">We suggest capturing these findings in the TR in order to address and document the future compatibility as requested by RAN plenary. </w:t>
      </w:r>
    </w:p>
    <w:p w14:paraId="5E559236" w14:textId="3CD50282" w:rsidR="0007400E" w:rsidRDefault="0007400E" w:rsidP="0007400E">
      <w:pPr>
        <w:pStyle w:val="Heading1"/>
      </w:pPr>
      <w:bookmarkStart w:id="0" w:name="_Ref450638578"/>
      <w:r>
        <w:t>Discussion</w:t>
      </w:r>
      <w:bookmarkEnd w:id="0"/>
    </w:p>
    <w:p w14:paraId="3B5C79CF" w14:textId="223F7561" w:rsidR="001A48C6" w:rsidRDefault="001A48C6" w:rsidP="001A48C6">
      <w:pPr>
        <w:pStyle w:val="Heading2"/>
      </w:pPr>
      <w:r>
        <w:t>NR L2 design for unlicensed spectrum</w:t>
      </w:r>
    </w:p>
    <w:p w14:paraId="5A447591" w14:textId="2194016B" w:rsidR="00532DE0" w:rsidRPr="00532DE0" w:rsidRDefault="00532DE0" w:rsidP="00532DE0">
      <w:r>
        <w:t xml:space="preserve">In this section we discuss aspects of the L2 CP/UP protocol stack that may be impacted when operating NR in unlicensed spectrum. </w:t>
      </w:r>
    </w:p>
    <w:p w14:paraId="4D968040" w14:textId="4C3A4CA8" w:rsidR="00532DE0" w:rsidRDefault="00532DE0" w:rsidP="00532DE0">
      <w:pPr>
        <w:pStyle w:val="Heading3"/>
      </w:pPr>
      <w:bookmarkStart w:id="1" w:name="_Ref462937761"/>
      <w:r>
        <w:t xml:space="preserve">Flexible timing </w:t>
      </w:r>
      <w:r w:rsidR="006405FC">
        <w:t xml:space="preserve">and Sparseness </w:t>
      </w:r>
      <w:r>
        <w:t>of System Information</w:t>
      </w:r>
      <w:bookmarkEnd w:id="1"/>
    </w:p>
    <w:p w14:paraId="21C2F510" w14:textId="77777777" w:rsidR="00532DE0" w:rsidRDefault="00532DE0" w:rsidP="00532DE0">
      <w:r>
        <w:t xml:space="preserve">In LTE the MIB and the SIB1 occur with fixed timing with respect to radio frame and subframe. When operating in unlicensed spectrum, it is often necessary to apply LBT. If the base station senses the channel to be busy it may not be able to send broadcast information such as MIB and SIB1. With a fixed and static timing such as in LTE, the eNB may have to drop those transmissions which is not in-line with the current LTE specifications. </w:t>
      </w:r>
    </w:p>
    <w:p w14:paraId="4F402A2C" w14:textId="77777777" w:rsidR="00532DE0" w:rsidRDefault="00532DE0" w:rsidP="00532DE0">
      <w:r>
        <w:t xml:space="preserve">To avoid such issues and in order to ensure the requested future compatibility, RAN2 (and RAN1) should ensure that system information may be transmitted with a flexible timing. </w:t>
      </w:r>
    </w:p>
    <w:p w14:paraId="6B9EBF23" w14:textId="77777777" w:rsidR="00532DE0" w:rsidRDefault="00532DE0" w:rsidP="00532DE0">
      <w:pPr>
        <w:pStyle w:val="Proposal"/>
      </w:pPr>
      <w:bookmarkStart w:id="2" w:name="_Toc462937836"/>
      <w:bookmarkStart w:id="3" w:name="_Toc462938171"/>
      <w:bookmarkStart w:id="4" w:name="_Toc462950269"/>
      <w:bookmarkStart w:id="5" w:name="_Toc462950311"/>
      <w:bookmarkStart w:id="6" w:name="_Toc462950926"/>
      <w:bookmarkStart w:id="7" w:name="_Toc462950940"/>
      <w:bookmarkStart w:id="8" w:name="_Toc463028234"/>
      <w:bookmarkStart w:id="9" w:name="_Toc463028388"/>
      <w:r>
        <w:t>The NR UE should be able to cope with delayed or dropped MIB/SIB occurrences due to failed LBT</w:t>
      </w:r>
      <w:bookmarkEnd w:id="2"/>
      <w:bookmarkEnd w:id="3"/>
      <w:bookmarkEnd w:id="4"/>
      <w:bookmarkEnd w:id="5"/>
      <w:bookmarkEnd w:id="6"/>
      <w:bookmarkEnd w:id="7"/>
      <w:bookmarkEnd w:id="8"/>
      <w:bookmarkEnd w:id="9"/>
    </w:p>
    <w:p w14:paraId="40E42772" w14:textId="77777777" w:rsidR="00830DF2" w:rsidRDefault="006405FC" w:rsidP="006405FC">
      <w:r>
        <w:t xml:space="preserve">In order to share the unlicensed spectrum efficiently with other systems, it is vital to minimize the always-on transmissions, i.e., the transmissions of reference signals and system information at times when the system is otherwise idle (due to lack of user data). </w:t>
      </w:r>
      <w:r w:rsidR="00EE1D2F">
        <w:t xml:space="preserve">LTE LAA accounted for that by </w:t>
      </w:r>
      <w:r w:rsidR="00830DF2">
        <w:t>transmitting only sparse DRS subframes in such situations. For standalone or dual connectivity operation, also system information should appear at those occasions with similar intervals, i.e., in the order of ~100 ms.</w:t>
      </w:r>
    </w:p>
    <w:p w14:paraId="739BAE2E" w14:textId="433A9CC4" w:rsidR="006405FC" w:rsidRDefault="00560B08" w:rsidP="00830DF2">
      <w:pPr>
        <w:pStyle w:val="Proposal"/>
      </w:pPr>
      <w:bookmarkStart w:id="10" w:name="_Toc462950270"/>
      <w:bookmarkStart w:id="11" w:name="_Toc462950312"/>
      <w:bookmarkStart w:id="12" w:name="_Toc462950927"/>
      <w:bookmarkStart w:id="13" w:name="_Toc462950941"/>
      <w:bookmarkStart w:id="14" w:name="_Toc463028235"/>
      <w:bookmarkStart w:id="15" w:name="_Toc463028389"/>
      <w:r>
        <w:t xml:space="preserve">It should be possible to configure </w:t>
      </w:r>
      <w:r w:rsidR="00830DF2">
        <w:t xml:space="preserve">System </w:t>
      </w:r>
      <w:r>
        <w:t>I</w:t>
      </w:r>
      <w:r w:rsidR="00830DF2">
        <w:t xml:space="preserve">nformation (and corresponding reference signals) </w:t>
      </w:r>
      <w:r>
        <w:t xml:space="preserve">to </w:t>
      </w:r>
      <w:r w:rsidR="00830DF2">
        <w:t>be sparse in time.</w:t>
      </w:r>
      <w:bookmarkEnd w:id="10"/>
      <w:bookmarkEnd w:id="11"/>
      <w:bookmarkEnd w:id="12"/>
      <w:bookmarkEnd w:id="13"/>
      <w:bookmarkEnd w:id="14"/>
      <w:bookmarkEnd w:id="15"/>
      <w:r w:rsidR="00830DF2">
        <w:t xml:space="preserve"> </w:t>
      </w:r>
    </w:p>
    <w:p w14:paraId="441783CC" w14:textId="77777777" w:rsidR="00532DE0" w:rsidRDefault="00532DE0" w:rsidP="00532DE0">
      <w:pPr>
        <w:pStyle w:val="Heading3"/>
      </w:pPr>
      <w:bookmarkStart w:id="16" w:name="_Ref462937765"/>
      <w:r>
        <w:lastRenderedPageBreak/>
        <w:t>Flexible timing of Paging Messages</w:t>
      </w:r>
      <w:bookmarkEnd w:id="16"/>
    </w:p>
    <w:p w14:paraId="5527FA1B" w14:textId="77777777" w:rsidR="00532DE0" w:rsidRDefault="00532DE0" w:rsidP="00532DE0">
      <w:r>
        <w:t xml:space="preserve">Similarly as SIB1 and MIB also the paging occasions are defined as specific subframes in time domain. To avoid that a UE misses a paging message when the eNB must postpone a paging transmission due to LBT, it may be necessary to optionally extend the paging occasion so that it covers several subframes. </w:t>
      </w:r>
    </w:p>
    <w:p w14:paraId="79B2C535" w14:textId="77777777" w:rsidR="00532DE0" w:rsidRDefault="00532DE0" w:rsidP="00532DE0">
      <w:pPr>
        <w:pStyle w:val="Proposal"/>
      </w:pPr>
      <w:bookmarkStart w:id="17" w:name="_Toc462937837"/>
      <w:bookmarkStart w:id="18" w:name="_Toc462938172"/>
      <w:bookmarkStart w:id="19" w:name="_Toc462950271"/>
      <w:bookmarkStart w:id="20" w:name="_Toc462950313"/>
      <w:bookmarkStart w:id="21" w:name="_Toc462950928"/>
      <w:bookmarkStart w:id="22" w:name="_Toc462950942"/>
      <w:bookmarkStart w:id="23" w:name="_Toc463028236"/>
      <w:bookmarkStart w:id="24" w:name="_Toc463028390"/>
      <w:r>
        <w:t>The NR UE should be able to cope with delayed Paging messages due to failed LBT</w:t>
      </w:r>
      <w:bookmarkEnd w:id="17"/>
      <w:bookmarkEnd w:id="18"/>
      <w:bookmarkEnd w:id="19"/>
      <w:bookmarkEnd w:id="20"/>
      <w:bookmarkEnd w:id="21"/>
      <w:bookmarkEnd w:id="22"/>
      <w:bookmarkEnd w:id="23"/>
      <w:bookmarkEnd w:id="24"/>
    </w:p>
    <w:p w14:paraId="0B31D552" w14:textId="29399B72" w:rsidR="008209F4" w:rsidRDefault="008209F4" w:rsidP="001A48C6">
      <w:pPr>
        <w:pStyle w:val="Heading3"/>
      </w:pPr>
      <w:r>
        <w:t>RRM Measurements</w:t>
      </w:r>
    </w:p>
    <w:p w14:paraId="75423E14" w14:textId="60EA25BE" w:rsidR="008209F4" w:rsidRDefault="008209F4" w:rsidP="008209F4">
      <w:r>
        <w:t xml:space="preserve">For LTE LAA additional RRM measurements have been introduced that report the RSSI and the channel occupancy. Such measurement reports are helpful for channel selection, i.e., they enable the RAN </w:t>
      </w:r>
      <w:r w:rsidR="00D7052F">
        <w:t xml:space="preserve">to </w:t>
      </w:r>
      <w:r>
        <w:t xml:space="preserve">choose a lowly loaded carrier within the available unlicensed spectrum. </w:t>
      </w:r>
    </w:p>
    <w:p w14:paraId="1033AAAC" w14:textId="6CA12E04" w:rsidR="00E56B14" w:rsidRDefault="00E56B14" w:rsidP="00E56B14">
      <w:pPr>
        <w:pStyle w:val="Observation"/>
      </w:pPr>
      <w:r>
        <w:t xml:space="preserve">RRM </w:t>
      </w:r>
      <w:r w:rsidRPr="00E56B14">
        <w:t>RSSI and channel occupancy</w:t>
      </w:r>
      <w:r>
        <w:t xml:space="preserve"> measurements were introduced for LTE LAA and </w:t>
      </w:r>
      <w:r w:rsidR="0038027C">
        <w:t>should</w:t>
      </w:r>
      <w:r>
        <w:t xml:space="preserve"> be inherited for NR </w:t>
      </w:r>
    </w:p>
    <w:p w14:paraId="11D165C3" w14:textId="705D2589" w:rsidR="008209F4" w:rsidRDefault="008209F4" w:rsidP="008209F4">
      <w:r>
        <w:t xml:space="preserve">Furthermore, it was discussed extensively how the RRM L3 measurement </w:t>
      </w:r>
      <w:r w:rsidRPr="008209F4">
        <w:t xml:space="preserve">filtering </w:t>
      </w:r>
      <w:r>
        <w:t xml:space="preserve">should </w:t>
      </w:r>
      <w:r w:rsidRPr="008209F4">
        <w:t xml:space="preserve">cope with missing </w:t>
      </w:r>
      <w:r>
        <w:t xml:space="preserve">measurement </w:t>
      </w:r>
      <w:r w:rsidRPr="008209F4">
        <w:t>samples</w:t>
      </w:r>
      <w:r>
        <w:t>.</w:t>
      </w:r>
      <w:r w:rsidR="00FB572B">
        <w:t xml:space="preserve"> After careful investigation it was concluded that no particular </w:t>
      </w:r>
      <w:r w:rsidR="00A260F9">
        <w:t>change to the specifications was needed. The existing definition for RRM filtering ensures already that a UE assigns a very low weight to old measurement samples compared to a new sample even if intermediate sample</w:t>
      </w:r>
      <w:r w:rsidR="00AC6DE9">
        <w:t>s</w:t>
      </w:r>
      <w:r w:rsidR="00A260F9">
        <w:t xml:space="preserve"> were not received. </w:t>
      </w:r>
    </w:p>
    <w:p w14:paraId="76EF3D14" w14:textId="564B4BB0" w:rsidR="00E56B14" w:rsidRPr="008209F4" w:rsidRDefault="00E56B14" w:rsidP="00E56B14">
      <w:pPr>
        <w:pStyle w:val="Observation"/>
      </w:pPr>
      <w:r>
        <w:t xml:space="preserve">The RRM L3 filtering defined for LTE handles the lack of measurement samples (due to LBT) appropriately and </w:t>
      </w:r>
      <w:r w:rsidR="0038027C">
        <w:t xml:space="preserve">should </w:t>
      </w:r>
      <w:r>
        <w:t xml:space="preserve">be inherited for NR. </w:t>
      </w:r>
    </w:p>
    <w:p w14:paraId="31E170A5" w14:textId="34E12681" w:rsidR="00257C9B" w:rsidRDefault="00257C9B" w:rsidP="001A48C6">
      <w:pPr>
        <w:pStyle w:val="Heading3"/>
      </w:pPr>
      <w:r>
        <w:t>Asynchronous HARQ</w:t>
      </w:r>
    </w:p>
    <w:p w14:paraId="30AB40C9" w14:textId="63746FE3" w:rsidR="00257C9B" w:rsidRDefault="00257C9B" w:rsidP="00257C9B">
      <w:r>
        <w:t xml:space="preserve">RAN1 and RAN2 already agreed to use Asynchronous HARQ in uplink and downlink. This was considered suitable for operation in unlicensed spectrum as it removes the tight timing relation between an initial transmission and a subsequent HARQ retransmission. </w:t>
      </w:r>
    </w:p>
    <w:p w14:paraId="7AC8E92B" w14:textId="6525653E" w:rsidR="008D066F" w:rsidRDefault="008D066F" w:rsidP="008D066F">
      <w:pPr>
        <w:pStyle w:val="Observation"/>
      </w:pPr>
      <w:r>
        <w:t xml:space="preserve">Asynchronous HARQ was already chosen for NR and it is </w:t>
      </w:r>
      <w:r w:rsidR="002D12A5">
        <w:t xml:space="preserve">also </w:t>
      </w:r>
      <w:r>
        <w:t>the most suitable choice for operati</w:t>
      </w:r>
      <w:r w:rsidR="0038027C">
        <w:t>ng NR</w:t>
      </w:r>
      <w:r>
        <w:t xml:space="preserve"> in </w:t>
      </w:r>
      <w:r w:rsidR="002D12A5">
        <w:t>unlicensed spectrum</w:t>
      </w:r>
      <w:r>
        <w:t xml:space="preserve">. </w:t>
      </w:r>
    </w:p>
    <w:p w14:paraId="62BA845F" w14:textId="303AB7FC" w:rsidR="00DA753B" w:rsidRDefault="00DA753B" w:rsidP="00DA753B">
      <w:pPr>
        <w:pStyle w:val="BodyText"/>
      </w:pPr>
      <w:r>
        <w:t xml:space="preserve">Not only the HARQ (re-)transmissions but also the HARQ feedback may be subject to delays due to LBT failures. While LTE LAA maps HARQ feedback always on an associated UL carrier on licensed spectrum, it is desirable to allow for such control signalling also on unlicensed spectrum. This is in particular important when running NR exclusively on unlicensed spectrum or as licensed assisted carrier in a dual connectivity setup (non-ideal interface between MCG and SCG). </w:t>
      </w:r>
    </w:p>
    <w:p w14:paraId="57B105CD" w14:textId="5C815AE6" w:rsidR="00DA753B" w:rsidRDefault="00DA753B" w:rsidP="00DA753B">
      <w:pPr>
        <w:pStyle w:val="BodyText"/>
      </w:pPr>
      <w:r>
        <w:t xml:space="preserve">The flexible frame structure introduced by RAN1 (see also section </w:t>
      </w:r>
      <w:r>
        <w:fldChar w:fldCharType="begin"/>
      </w:r>
      <w:r>
        <w:instrText xml:space="preserve"> REF _Ref462948467 \n \h </w:instrText>
      </w:r>
      <w:r>
        <w:fldChar w:fldCharType="separate"/>
      </w:r>
      <w:r w:rsidR="005A487F">
        <w:t>2.2.3</w:t>
      </w:r>
      <w:r>
        <w:fldChar w:fldCharType="end"/>
      </w:r>
      <w:r>
        <w:t xml:space="preserve">) will provide various opportunities for transmitting HARQ feedback – either as early as possible directly after the corresponding HARQ transmission or as a bundle for several pending HARQ processes. </w:t>
      </w:r>
      <w:r w:rsidR="00C20C38">
        <w:t xml:space="preserve">In particular the latter </w:t>
      </w:r>
      <w:r>
        <w:t xml:space="preserve">can be realized in a time-independent manner such as a bitmap where each bit refers </w:t>
      </w:r>
      <w:r w:rsidR="00C20C38">
        <w:t xml:space="preserve">unambiguously </w:t>
      </w:r>
      <w:r>
        <w:t xml:space="preserve">to a </w:t>
      </w:r>
      <w:r w:rsidR="00C20C38">
        <w:t xml:space="preserve">specific </w:t>
      </w:r>
      <w:r>
        <w:t>HARQ process.</w:t>
      </w:r>
      <w:r w:rsidR="004E76BA">
        <w:t xml:space="preserve"> While the details of the HARQ feedback are up to RAN1, we can observe that this format is transparent from MAC perspective. That is, the LTE MAC protocol for DL data reception is written in a time-agnostic manner so that it provides the HARQ feedback to L1 when it is available and not specifically when L1 intends to transmit it.</w:t>
      </w:r>
      <w:r w:rsidR="00720BB1">
        <w:t xml:space="preserve"> </w:t>
      </w:r>
    </w:p>
    <w:p w14:paraId="0C186954" w14:textId="3E2B51E9" w:rsidR="00DA753B" w:rsidRDefault="00720BB1" w:rsidP="00DA753B">
      <w:pPr>
        <w:pStyle w:val="Observation"/>
      </w:pPr>
      <w:r>
        <w:t xml:space="preserve">The current MAC protocol is written in a time-agnostic manner with respect to the provisioning of HARQ feedback to L1. Hence, the existing LTE MAC protocol already offers support for asynchronous HARQ feedback as needed when UCI is mapped to unlicensed carriers. </w:t>
      </w:r>
    </w:p>
    <w:p w14:paraId="78C1CF21" w14:textId="77777777" w:rsidR="00B314A1" w:rsidRDefault="00B314A1" w:rsidP="001A48C6">
      <w:pPr>
        <w:pStyle w:val="Heading3"/>
      </w:pPr>
      <w:r>
        <w:t>QoS restrictions</w:t>
      </w:r>
    </w:p>
    <w:p w14:paraId="3E342FC2" w14:textId="77777777" w:rsidR="00B314A1" w:rsidRDefault="00B314A1" w:rsidP="00B314A1">
      <w:r>
        <w:t xml:space="preserve">For LTE LAA, </w:t>
      </w:r>
      <w:r w:rsidRPr="00365DE9">
        <w:t xml:space="preserve">RAN2 introduced </w:t>
      </w:r>
      <w:r>
        <w:t>means for the network to configure which uplink radio bearers the UE may map to an LAA carrier. Considering that RAN2 decided to use the LTE L2 UP protocol stack, we consider this functionality to be inherited as well when operating NR on unlicensed spectrum.</w:t>
      </w:r>
    </w:p>
    <w:p w14:paraId="7318E83C" w14:textId="77777777" w:rsidR="00B314A1" w:rsidRDefault="00B314A1" w:rsidP="00B314A1">
      <w:pPr>
        <w:pStyle w:val="Observation"/>
      </w:pPr>
      <w:r>
        <w:t xml:space="preserve">NR inherits from LTE LAA the possibility to restrict which uplink radio bearer (logical channel) the UE may map to a carrier operating in unlicensed spectrum.  </w:t>
      </w:r>
    </w:p>
    <w:p w14:paraId="1D923FEF" w14:textId="77777777" w:rsidR="00B314A1" w:rsidRDefault="00B314A1" w:rsidP="00B314A1">
      <w:r>
        <w:t>RAN2 discussed but did not introduce any restrictions for mapping MAC Control Elements to unlicensed carriers. While there was a perception that such restrictions may be beneficial in certain cases, RAN2 did not consider it vital. Anyway, such enhancements could possibly be re-considered in the stage-3 phase.</w:t>
      </w:r>
    </w:p>
    <w:p w14:paraId="0EAB6A27" w14:textId="77777777" w:rsidR="00B314A1" w:rsidRDefault="00B314A1" w:rsidP="001A48C6">
      <w:pPr>
        <w:pStyle w:val="Heading3"/>
      </w:pPr>
      <w:r>
        <w:lastRenderedPageBreak/>
        <w:t>Random Access</w:t>
      </w:r>
    </w:p>
    <w:p w14:paraId="611401BA" w14:textId="4061588D" w:rsidR="00B314A1" w:rsidRDefault="00B314A1" w:rsidP="00B314A1">
      <w:r>
        <w:t xml:space="preserve">For LTE LAA the impact of LBT on Random Access was discussed. RAN2 concluded that the UE shall increase the preamble transmission counter for preambles that were dropped due to LBT-failure. However, the UE shall not perform power ramping upon those dropped preambles. These rules ensure that the UE declares a RA failure (and hence a RLF) when the RA fails continuously due to failed LBT. </w:t>
      </w:r>
      <w:r w:rsidR="00560B08">
        <w:t>Secondly they</w:t>
      </w:r>
      <w:r>
        <w:t xml:space="preserve"> avoid unintentionally large power ramping steps.</w:t>
      </w:r>
    </w:p>
    <w:p w14:paraId="4C2E1581" w14:textId="32C441D2" w:rsidR="00A204B7" w:rsidRPr="00A204B7" w:rsidRDefault="00B314A1" w:rsidP="00A204B7">
      <w:pPr>
        <w:pStyle w:val="Observation"/>
      </w:pPr>
      <w:r>
        <w:t>The random access handling inherited from LTE LAA is suitable also for NR, i.e., the NR UE shall increase the preamble count but not ramp the power when dropping a preamble due to failed LBT.</w:t>
      </w:r>
    </w:p>
    <w:p w14:paraId="46054FCF" w14:textId="50A9599F" w:rsidR="00B314A1" w:rsidRDefault="00B314A1" w:rsidP="00406C8D">
      <w:pPr>
        <w:pStyle w:val="Heading2"/>
      </w:pPr>
      <w:r>
        <w:t>NR L1 design for unlicensed spectrum</w:t>
      </w:r>
    </w:p>
    <w:p w14:paraId="0BE018A2" w14:textId="40658647" w:rsidR="00B314A1" w:rsidRPr="00B314A1" w:rsidRDefault="00B314A1" w:rsidP="00B314A1">
      <w:r>
        <w:t xml:space="preserve">This section discusses the NR design choices (about to be) taken for the physical layer </w:t>
      </w:r>
      <w:r w:rsidR="002C45A7">
        <w:t>with respect to operation in unlicensed spectrum. Even though we don’t expect them to be captured necessarily in the RAN2 TR, we consider it useful for RAN2 to obtain a common understanding.</w:t>
      </w:r>
    </w:p>
    <w:p w14:paraId="66A83985" w14:textId="5EB3A1B8" w:rsidR="00406C8D" w:rsidRDefault="00406C8D" w:rsidP="00B314A1">
      <w:pPr>
        <w:pStyle w:val="Heading3"/>
      </w:pPr>
      <w:r>
        <w:t>Lower processing delay</w:t>
      </w:r>
    </w:p>
    <w:p w14:paraId="226A9B86" w14:textId="3124C491" w:rsidR="00D4173C" w:rsidRDefault="00D4173C" w:rsidP="00D4173C">
      <w:r>
        <w:t xml:space="preserve">As discussed in the context of LAA, low processing delay is vital for operation in unlicensed spectrum: If the UE needs too much time to process a downlink transport block, </w:t>
      </w:r>
      <w:r w:rsidR="00F0356B">
        <w:t>it is more probable that other nodes gain access to the channel</w:t>
      </w:r>
      <w:r w:rsidR="00ED4080">
        <w:t xml:space="preserve"> </w:t>
      </w:r>
      <w:r>
        <w:t xml:space="preserve">before sending the uplink feedback even though the eNB had done such an LBT before sending the data and even though one would typically consider the feedback to be part of the data transmission. However, if the gap becomes too long, other devices/systems may consider the channel to be available and use it for their own transmissions. Therefore, significantly reduced processing and feedback delays will ease the operation in unlicensed spectrum as shown in </w:t>
      </w:r>
      <w:r>
        <w:fldChar w:fldCharType="begin"/>
      </w:r>
      <w:r>
        <w:instrText xml:space="preserve"> REF _Ref450580861 \h </w:instrText>
      </w:r>
      <w:r>
        <w:fldChar w:fldCharType="separate"/>
      </w:r>
      <w:r w:rsidR="005A487F">
        <w:t xml:space="preserve">Figure </w:t>
      </w:r>
      <w:r w:rsidR="005A487F">
        <w:rPr>
          <w:noProof/>
        </w:rPr>
        <w:t>1</w:t>
      </w:r>
      <w:r>
        <w:fldChar w:fldCharType="end"/>
      </w:r>
      <w:r>
        <w:t xml:space="preserve">. </w:t>
      </w:r>
    </w:p>
    <w:p w14:paraId="260A1739" w14:textId="77777777" w:rsidR="00D4173C" w:rsidRDefault="00D4173C" w:rsidP="00D4173C">
      <w:bookmarkStart w:id="25" w:name="_Toc450581424"/>
      <w:r>
        <w:t xml:space="preserve">In the May meeting RAN1 agreed to aim for significantly reduced processing delays compared to LTE: </w:t>
      </w:r>
    </w:p>
    <w:tbl>
      <w:tblPr>
        <w:tblStyle w:val="TableGrid"/>
        <w:tblW w:w="0" w:type="auto"/>
        <w:tblInd w:w="817" w:type="dxa"/>
        <w:tblLook w:val="05E0" w:firstRow="1" w:lastRow="1" w:firstColumn="1" w:lastColumn="1" w:noHBand="0" w:noVBand="1"/>
      </w:tblPr>
      <w:tblGrid>
        <w:gridCol w:w="7938"/>
      </w:tblGrid>
      <w:tr w:rsidR="00D4173C" w14:paraId="3DB7991E" w14:textId="77777777" w:rsidTr="008019CF">
        <w:tc>
          <w:tcPr>
            <w:tcW w:w="7938" w:type="dxa"/>
          </w:tcPr>
          <w:p w14:paraId="6C29B880" w14:textId="77777777" w:rsidR="00D4173C" w:rsidRPr="007265A2" w:rsidRDefault="00D4173C" w:rsidP="008019CF">
            <w:pPr>
              <w:tabs>
                <w:tab w:val="left" w:pos="340"/>
              </w:tabs>
              <w:ind w:left="340" w:hanging="340"/>
              <w:rPr>
                <w:b/>
              </w:rPr>
            </w:pPr>
            <w:r w:rsidRPr="007265A2">
              <w:rPr>
                <w:b/>
              </w:rPr>
              <w:t>Agreement:</w:t>
            </w:r>
          </w:p>
          <w:p w14:paraId="1797FBB1" w14:textId="77777777" w:rsidR="00D4173C" w:rsidRPr="00A839CC" w:rsidRDefault="00D4173C" w:rsidP="00D4173C">
            <w:pPr>
              <w:numPr>
                <w:ilvl w:val="0"/>
                <w:numId w:val="18"/>
              </w:numPr>
              <w:overflowPunct/>
              <w:autoSpaceDE/>
              <w:autoSpaceDN/>
              <w:adjustRightInd/>
              <w:spacing w:after="0"/>
              <w:jc w:val="left"/>
              <w:textAlignment w:val="auto"/>
              <w:rPr>
                <w:rFonts w:eastAsia="MS Mincho"/>
                <w:lang w:val="en-US" w:eastAsia="ja-JP"/>
              </w:rPr>
            </w:pPr>
            <w:r w:rsidRPr="00A839CC">
              <w:rPr>
                <w:rFonts w:eastAsia="MS Mincho"/>
                <w:lang w:val="en-US" w:eastAsia="ja-JP"/>
              </w:rPr>
              <w:t>NR design should strive at least to enable the possibility for</w:t>
            </w:r>
          </w:p>
          <w:p w14:paraId="3C9F6C13" w14:textId="77777777" w:rsidR="00D4173C" w:rsidRPr="001B018D" w:rsidRDefault="00D4173C" w:rsidP="00D4173C">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Corresponding acknowledgement</w:t>
            </w:r>
            <w:r>
              <w:rPr>
                <w:rFonts w:eastAsia="MS Mincho"/>
                <w:lang w:val="en-US" w:eastAsia="ja-JP"/>
              </w:rPr>
              <w:t xml:space="preserve"> </w:t>
            </w:r>
            <w:r>
              <w:rPr>
                <w:rFonts w:eastAsia="MS Mincho" w:hint="eastAsia"/>
                <w:lang w:val="en-US" w:eastAsia="ja-JP"/>
              </w:rPr>
              <w:t xml:space="preserve">reporting </w:t>
            </w:r>
            <w:r>
              <w:rPr>
                <w:rFonts w:eastAsia="MS Mincho"/>
                <w:lang w:val="en-US" w:eastAsia="ja-JP"/>
              </w:rPr>
              <w:t xml:space="preserve">shortly </w:t>
            </w:r>
            <w:r>
              <w:rPr>
                <w:rFonts w:eastAsia="MS Mincho" w:hint="eastAsia"/>
                <w:lang w:val="en-US" w:eastAsia="ja-JP"/>
              </w:rPr>
              <w:t>(</w:t>
            </w:r>
            <w:r>
              <w:rPr>
                <w:rFonts w:eastAsia="MS Mincho"/>
                <w:lang w:val="en-US" w:eastAsia="ja-JP"/>
              </w:rPr>
              <w:t xml:space="preserve">in the order of </w:t>
            </w:r>
            <w:r>
              <w:rPr>
                <w:rFonts w:eastAsia="MS Mincho" w:hint="eastAsia"/>
                <w:lang w:val="en-US" w:eastAsia="ja-JP"/>
              </w:rPr>
              <w:t>X</w:t>
            </w:r>
            <w:r>
              <w:rPr>
                <w:rFonts w:eastAsia="MS Mincho"/>
                <w:lang w:val="en-US" w:eastAsia="ja-JP"/>
              </w:rPr>
              <w:t xml:space="preserve"> µs</w:t>
            </w:r>
            <w:r>
              <w:rPr>
                <w:rFonts w:eastAsia="MS Mincho" w:hint="eastAsia"/>
                <w:lang w:val="en-US" w:eastAsia="ja-JP"/>
              </w:rPr>
              <w:t>)</w:t>
            </w:r>
            <w:r w:rsidRPr="00A839CC">
              <w:rPr>
                <w:rFonts w:eastAsia="MS Mincho"/>
                <w:lang w:val="en-US" w:eastAsia="ja-JP"/>
              </w:rPr>
              <w:t xml:space="preserve"> after the end of the </w:t>
            </w:r>
            <w:r>
              <w:rPr>
                <w:rFonts w:eastAsia="MS Mincho" w:hint="eastAsia"/>
                <w:lang w:val="en-US" w:eastAsia="ja-JP"/>
              </w:rPr>
              <w:t xml:space="preserve">DL </w:t>
            </w:r>
            <w:r w:rsidRPr="00A839CC">
              <w:rPr>
                <w:rFonts w:eastAsia="MS Mincho"/>
                <w:lang w:val="en-US" w:eastAsia="ja-JP"/>
              </w:rPr>
              <w:t>data transmission</w:t>
            </w:r>
          </w:p>
          <w:p w14:paraId="4B01E646" w14:textId="77777777" w:rsidR="00D4173C" w:rsidRPr="00A114CC" w:rsidRDefault="00D4173C" w:rsidP="00D4173C">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Corresponding u</w:t>
            </w:r>
            <w:r w:rsidRPr="00A839CC">
              <w:rPr>
                <w:rFonts w:eastAsia="MS Mincho"/>
                <w:lang w:val="en-US" w:eastAsia="ja-JP"/>
              </w:rPr>
              <w:t>plink data transmission sh</w:t>
            </w:r>
            <w:r>
              <w:rPr>
                <w:rFonts w:eastAsia="MS Mincho"/>
                <w:lang w:val="en-US" w:eastAsia="ja-JP"/>
              </w:rPr>
              <w:t xml:space="preserve">ortly (in the order of </w:t>
            </w:r>
            <w:r>
              <w:rPr>
                <w:rFonts w:eastAsia="MS Mincho" w:hint="eastAsia"/>
                <w:lang w:val="en-US" w:eastAsia="ja-JP"/>
              </w:rPr>
              <w:t>Y</w:t>
            </w:r>
            <w:r w:rsidRPr="00A839CC">
              <w:rPr>
                <w:rFonts w:eastAsia="MS Mincho"/>
                <w:lang w:val="en-US" w:eastAsia="ja-JP"/>
              </w:rPr>
              <w:t xml:space="preserve"> µs) after </w:t>
            </w:r>
            <w:r>
              <w:rPr>
                <w:rFonts w:eastAsia="MS Mincho"/>
                <w:lang w:val="en-US" w:eastAsia="ja-JP"/>
              </w:rPr>
              <w:t xml:space="preserve">reception of </w:t>
            </w:r>
            <w:r w:rsidRPr="00EE29E6">
              <w:rPr>
                <w:rFonts w:eastAsia="MS Mincho"/>
                <w:lang w:eastAsia="ja-JP"/>
              </w:rPr>
              <w:t>UL assignment</w:t>
            </w:r>
          </w:p>
          <w:p w14:paraId="22EBEF50" w14:textId="77777777" w:rsidR="00D4173C" w:rsidRDefault="00D4173C" w:rsidP="00D4173C">
            <w:pPr>
              <w:numPr>
                <w:ilvl w:val="1"/>
                <w:numId w:val="18"/>
              </w:numPr>
              <w:overflowPunct/>
              <w:autoSpaceDE/>
              <w:autoSpaceDN/>
              <w:adjustRightInd/>
              <w:spacing w:after="0"/>
              <w:jc w:val="left"/>
              <w:textAlignment w:val="auto"/>
              <w:rPr>
                <w:rFonts w:eastAsia="MS Mincho"/>
                <w:lang w:val="en-US" w:eastAsia="ja-JP"/>
              </w:rPr>
            </w:pPr>
            <w:r w:rsidRPr="00A839CC">
              <w:rPr>
                <w:rFonts w:eastAsia="MS Mincho"/>
                <w:lang w:val="en-US" w:eastAsia="ja-JP"/>
              </w:rPr>
              <w:t>Note</w:t>
            </w:r>
            <w:r>
              <w:rPr>
                <w:rFonts w:eastAsia="MS Mincho"/>
                <w:lang w:val="en-US" w:eastAsia="ja-JP"/>
              </w:rPr>
              <w:t>: may depend on e.g. UE ca</w:t>
            </w:r>
            <w:r>
              <w:rPr>
                <w:rFonts w:eastAsia="MS Mincho" w:hint="eastAsia"/>
                <w:lang w:val="en-US" w:eastAsia="ja-JP"/>
              </w:rPr>
              <w:t>pability/category</w:t>
            </w:r>
            <w:r w:rsidRPr="00A839CC">
              <w:rPr>
                <w:rFonts w:eastAsia="MS Mincho"/>
                <w:lang w:val="en-US" w:eastAsia="ja-JP"/>
              </w:rPr>
              <w:t>, payload size, etc</w:t>
            </w:r>
          </w:p>
          <w:p w14:paraId="09A5EE67" w14:textId="4779FA7A" w:rsidR="00D4173C" w:rsidRPr="007265A2" w:rsidRDefault="00D4173C" w:rsidP="00D4173C">
            <w:pPr>
              <w:numPr>
                <w:ilvl w:val="1"/>
                <w:numId w:val="18"/>
              </w:numPr>
              <w:overflowPunct/>
              <w:autoSpaceDE/>
              <w:autoSpaceDN/>
              <w:adjustRightInd/>
              <w:spacing w:after="0"/>
              <w:jc w:val="left"/>
              <w:textAlignment w:val="auto"/>
            </w:pPr>
            <w:r>
              <w:rPr>
                <w:rFonts w:eastAsia="MS Mincho" w:hint="eastAsia"/>
                <w:lang w:val="en-US" w:eastAsia="ja-JP"/>
              </w:rPr>
              <w:t xml:space="preserve">FFS: X and Y in the order of a few tens of or </w:t>
            </w:r>
            <w:r>
              <w:rPr>
                <w:rFonts w:eastAsia="MS Mincho"/>
                <w:lang w:val="en-US" w:eastAsia="ja-JP"/>
              </w:rPr>
              <w:t>hundreds</w:t>
            </w:r>
            <w:r>
              <w:rPr>
                <w:rFonts w:eastAsia="MS Mincho" w:hint="eastAsia"/>
                <w:lang w:val="en-US" w:eastAsia="ja-JP"/>
              </w:rPr>
              <w:t xml:space="preserve"> of micro sec is feasible</w:t>
            </w:r>
          </w:p>
        </w:tc>
      </w:tr>
    </w:tbl>
    <w:p w14:paraId="2D8AE759" w14:textId="77777777" w:rsidR="00D4173C" w:rsidRDefault="00D4173C" w:rsidP="00D4173C"/>
    <w:p w14:paraId="6EDD398C" w14:textId="2396C457" w:rsidR="00D4173C" w:rsidRDefault="00D4173C" w:rsidP="00D4173C">
      <w:pPr>
        <w:pStyle w:val="Observation"/>
      </w:pPr>
      <w:r>
        <w:t>In unlicensed spectrum, a low delay between downlink data reception and uplink feedback transmission allows sending the feedback back-to-back.</w:t>
      </w:r>
      <w:bookmarkEnd w:id="25"/>
    </w:p>
    <w:p w14:paraId="05B9BA4D" w14:textId="6B7A3DDB" w:rsidR="00D4173C" w:rsidRDefault="00D4173C" w:rsidP="00D4173C"/>
    <w:p w14:paraId="37F58FD8" w14:textId="77777777" w:rsidR="00D4173C" w:rsidRDefault="00D4173C" w:rsidP="00D4173C">
      <w:pPr>
        <w:pStyle w:val="Figure"/>
      </w:pPr>
      <w:r w:rsidRPr="004646C0">
        <w:rPr>
          <w:noProof/>
          <w:lang w:val="sv-SE"/>
        </w:rPr>
        <w:drawing>
          <wp:inline distT="0" distB="0" distL="0" distR="0" wp14:anchorId="14E20B4C" wp14:editId="3ED8296B">
            <wp:extent cx="6120765" cy="115169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151696"/>
                    </a:xfrm>
                    <a:prstGeom prst="rect">
                      <a:avLst/>
                    </a:prstGeom>
                    <a:noFill/>
                    <a:ln>
                      <a:noFill/>
                    </a:ln>
                  </pic:spPr>
                </pic:pic>
              </a:graphicData>
            </a:graphic>
          </wp:inline>
        </w:drawing>
      </w:r>
    </w:p>
    <w:p w14:paraId="629C1F2B" w14:textId="77777777" w:rsidR="00D4173C" w:rsidRDefault="00D4173C" w:rsidP="00D4173C">
      <w:pPr>
        <w:pStyle w:val="Caption"/>
      </w:pPr>
      <w:bookmarkStart w:id="26" w:name="_Ref450580861"/>
      <w:r>
        <w:t xml:space="preserve">Figure </w:t>
      </w:r>
      <w:r>
        <w:fldChar w:fldCharType="begin"/>
      </w:r>
      <w:r>
        <w:instrText xml:space="preserve"> SEQ Figure \* ARABIC </w:instrText>
      </w:r>
      <w:r>
        <w:fldChar w:fldCharType="separate"/>
      </w:r>
      <w:r w:rsidR="005A487F">
        <w:rPr>
          <w:noProof/>
        </w:rPr>
        <w:t>1</w:t>
      </w:r>
      <w:r>
        <w:fldChar w:fldCharType="end"/>
      </w:r>
      <w:bookmarkEnd w:id="26"/>
      <w:r>
        <w:t>: Downlink data and Uplink feedback in same TXOP with short processing delay</w:t>
      </w:r>
    </w:p>
    <w:p w14:paraId="1A649C53" w14:textId="3FDA7049" w:rsidR="00D4173C" w:rsidRPr="004646C0" w:rsidRDefault="00D4173C" w:rsidP="00D4173C">
      <w:r>
        <w:t xml:space="preserve">Besides the processing of downlink data, also the short uplink scheduling request-, grant- and transmission delays are beneficial in unlicensed spectrum. If the delay between reception of a scheduling request and the transmission of the uplink grant is sufficiently short, the eNB </w:t>
      </w:r>
      <w:r w:rsidR="00ED5CC8">
        <w:t>can</w:t>
      </w:r>
      <w:r>
        <w:t xml:space="preserve"> perform at most a short LBT. And subsequently, the UE may use the UL grant either immediately or after a short LBT.</w:t>
      </w:r>
    </w:p>
    <w:p w14:paraId="25EA23C2" w14:textId="2611C34A" w:rsidR="00D4173C" w:rsidRPr="00D4173C" w:rsidRDefault="00D4173C" w:rsidP="00D4173C">
      <w:pPr>
        <w:pStyle w:val="Observation"/>
      </w:pPr>
      <w:bookmarkStart w:id="27" w:name="_Toc450581425"/>
      <w:r>
        <w:t xml:space="preserve">In unlicensed spectrum, a low processing delay of UL grants </w:t>
      </w:r>
      <w:r w:rsidR="00ED0EF9">
        <w:t>increases the chances of occurrence of UL data transmission</w:t>
      </w:r>
      <w:r>
        <w:t>.</w:t>
      </w:r>
      <w:bookmarkEnd w:id="27"/>
      <w:r>
        <w:t xml:space="preserve"> </w:t>
      </w:r>
    </w:p>
    <w:p w14:paraId="15E8B464" w14:textId="77777777" w:rsidR="00D4173C" w:rsidRDefault="00D4173C" w:rsidP="00B314A1">
      <w:pPr>
        <w:pStyle w:val="Heading3"/>
      </w:pPr>
      <w:r>
        <w:lastRenderedPageBreak/>
        <w:t xml:space="preserve">Suitable numerology </w:t>
      </w:r>
    </w:p>
    <w:p w14:paraId="1B5D190D" w14:textId="69457EA1" w:rsidR="00D4173C" w:rsidRDefault="00D4173C" w:rsidP="00D4173C">
      <w:r>
        <w:t>RAN1 agreed on a baseline numerology for NR with 15 KHz subcarrier spacing. This is the same as in LTE and it results in a symbol duration of ~72µs. This is a particularly suitable numerology for macro cells</w:t>
      </w:r>
      <w:r w:rsidR="00405CB6">
        <w:t xml:space="preserve"> operating in the 1-3 GHz band. A</w:t>
      </w:r>
      <w:r>
        <w:t xml:space="preserve"> system </w:t>
      </w:r>
      <w:r w:rsidR="00D7052F">
        <w:t xml:space="preserve">operating </w:t>
      </w:r>
      <w:r>
        <w:t>in unlicensed spectrum at about 5 GHz will have smaller coverage area</w:t>
      </w:r>
      <w:r w:rsidR="00405CB6">
        <w:t xml:space="preserve"> and may hence operate </w:t>
      </w:r>
      <w:r>
        <w:t>with a shorter cyclic prefix</w:t>
      </w:r>
      <w:r w:rsidR="00405CB6">
        <w:t xml:space="preserve">. As a consequence, </w:t>
      </w:r>
      <w:r>
        <w:t>the symbol duration can be shortened without increasing the relative cyclic prefix overhead.</w:t>
      </w:r>
    </w:p>
    <w:p w14:paraId="5D96CE74" w14:textId="77777777" w:rsidR="00D4173C" w:rsidRDefault="00D4173C" w:rsidP="00D4173C">
      <w:r>
        <w:t xml:space="preserve">Increasing the subcarrier spacing by a factor of four compared to LTE results in a symbol duration of ~18 µs and allows supporting carriers of up to 80 MHz with the same FFT size as in LTE. </w:t>
      </w:r>
    </w:p>
    <w:p w14:paraId="023E75B7" w14:textId="2B76B677" w:rsidR="003D3143" w:rsidRDefault="003D3143" w:rsidP="00D4173C">
      <w:r>
        <w:t xml:space="preserve">The processing delays scale typically with the OFDM symbol duration. If RAN1 confirms the possibility to send HARQ feedback after a processing time of about one OFDM symbol, the UE can transmit the UL feedback for a DL data reception “back-to-back”. Hence, there is no need to perform LBT with exponential back-off. This is also depicted in </w:t>
      </w:r>
      <w:r>
        <w:fldChar w:fldCharType="begin"/>
      </w:r>
      <w:r>
        <w:instrText xml:space="preserve"> REF _Ref450580861 \h </w:instrText>
      </w:r>
      <w:r>
        <w:fldChar w:fldCharType="separate"/>
      </w:r>
      <w:r w:rsidR="005A487F">
        <w:t xml:space="preserve">Figure </w:t>
      </w:r>
      <w:r w:rsidR="005A487F">
        <w:rPr>
          <w:noProof/>
        </w:rPr>
        <w:t>1</w:t>
      </w:r>
      <w:r>
        <w:fldChar w:fldCharType="end"/>
      </w:r>
      <w:r>
        <w:t>.</w:t>
      </w:r>
    </w:p>
    <w:p w14:paraId="1C142554" w14:textId="38ADD0B7" w:rsidR="00406C8D" w:rsidRDefault="00D4173C" w:rsidP="00406C8D">
      <w:pPr>
        <w:pStyle w:val="Observation"/>
      </w:pPr>
      <w:r>
        <w:t xml:space="preserve">A subcarrier spacing of 60 kHz and </w:t>
      </w:r>
      <w:r w:rsidR="003D3143">
        <w:t>the</w:t>
      </w:r>
      <w:r>
        <w:t xml:space="preserve"> resulting OFDM symbol duration of ~18 µs </w:t>
      </w:r>
      <w:r w:rsidR="003D3143">
        <w:t>avoids the need for LBT with exponential back-off prior to sending the UL HARQ feedback.</w:t>
      </w:r>
    </w:p>
    <w:p w14:paraId="4BE8DA89" w14:textId="38C32CDE" w:rsidR="00406C8D" w:rsidRDefault="004B562B" w:rsidP="00B314A1">
      <w:pPr>
        <w:pStyle w:val="Heading3"/>
      </w:pPr>
      <w:bookmarkStart w:id="28" w:name="_Ref462948467"/>
      <w:r>
        <w:t>Flexible subframe structure</w:t>
      </w:r>
      <w:bookmarkEnd w:id="28"/>
    </w:p>
    <w:p w14:paraId="7F2CCB00" w14:textId="2680FC26" w:rsidR="00227D90" w:rsidRDefault="00227D90" w:rsidP="00227D90">
      <w:r>
        <w:t xml:space="preserve">RAN1 has started discussing the subframe structure for NR. In particular for TDD spectrum (such as e.g. 5 GHz band), it should be possible to schedule pure downlink, pure uplink and mixed downlink+uplink subframes. Depending on the link budget and depending on the number of symbols in a subframe, this may e.g. allow sending HARQ feedback in the same subframe in which the UE received the data. </w:t>
      </w:r>
    </w:p>
    <w:p w14:paraId="4AB2E847" w14:textId="291AAEC6" w:rsidR="00405CB6" w:rsidRDefault="00405CB6" w:rsidP="00405CB6">
      <w:pPr>
        <w:pStyle w:val="Figure"/>
      </w:pPr>
      <w:r w:rsidRPr="00405CB6">
        <w:rPr>
          <w:noProof/>
          <w:lang w:val="sv-SE"/>
        </w:rPr>
        <w:drawing>
          <wp:inline distT="0" distB="0" distL="0" distR="0" wp14:anchorId="69180618" wp14:editId="4BF80448">
            <wp:extent cx="1375200" cy="58320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5200" cy="583200"/>
                    </a:xfrm>
                    <a:prstGeom prst="rect">
                      <a:avLst/>
                    </a:prstGeom>
                    <a:noFill/>
                    <a:ln>
                      <a:noFill/>
                    </a:ln>
                  </pic:spPr>
                </pic:pic>
              </a:graphicData>
            </a:graphic>
          </wp:inline>
        </w:drawing>
      </w:r>
      <w:r>
        <w:t xml:space="preserve">    </w:t>
      </w:r>
      <w:r w:rsidRPr="00405CB6">
        <w:t xml:space="preserve"> </w:t>
      </w:r>
      <w:r w:rsidRPr="00405CB6">
        <w:rPr>
          <w:noProof/>
          <w:lang w:val="sv-SE"/>
        </w:rPr>
        <w:drawing>
          <wp:inline distT="0" distB="0" distL="0" distR="0" wp14:anchorId="5115ADF3" wp14:editId="23DF6FC4">
            <wp:extent cx="1753200" cy="766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3200" cy="766800"/>
                    </a:xfrm>
                    <a:prstGeom prst="rect">
                      <a:avLst/>
                    </a:prstGeom>
                    <a:noFill/>
                    <a:ln>
                      <a:noFill/>
                    </a:ln>
                  </pic:spPr>
                </pic:pic>
              </a:graphicData>
            </a:graphic>
          </wp:inline>
        </w:drawing>
      </w:r>
      <w:r w:rsidRPr="00405CB6">
        <w:t xml:space="preserve"> </w:t>
      </w:r>
      <w:r>
        <w:t xml:space="preserve">     </w:t>
      </w:r>
      <w:r w:rsidRPr="00257C9B">
        <w:rPr>
          <w:noProof/>
          <w:lang w:val="sv-SE"/>
        </w:rPr>
        <w:drawing>
          <wp:inline distT="0" distB="0" distL="0" distR="0" wp14:anchorId="42B6ACA1" wp14:editId="750965B1">
            <wp:extent cx="1753200" cy="766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3200" cy="766800"/>
                    </a:xfrm>
                    <a:prstGeom prst="rect">
                      <a:avLst/>
                    </a:prstGeom>
                    <a:noFill/>
                    <a:ln>
                      <a:noFill/>
                    </a:ln>
                  </pic:spPr>
                </pic:pic>
              </a:graphicData>
            </a:graphic>
          </wp:inline>
        </w:drawing>
      </w:r>
    </w:p>
    <w:p w14:paraId="0E796327" w14:textId="24E00B1A" w:rsidR="00405CB6" w:rsidRPr="00405CB6" w:rsidRDefault="00405CB6" w:rsidP="00405CB6">
      <w:pPr>
        <w:pStyle w:val="Caption"/>
      </w:pPr>
      <w:r>
        <w:t xml:space="preserve">Figure </w:t>
      </w:r>
      <w:r>
        <w:fldChar w:fldCharType="begin"/>
      </w:r>
      <w:r>
        <w:instrText xml:space="preserve"> SEQ Figure \* ARABIC </w:instrText>
      </w:r>
      <w:r>
        <w:fldChar w:fldCharType="separate"/>
      </w:r>
      <w:r w:rsidR="005A487F">
        <w:rPr>
          <w:noProof/>
        </w:rPr>
        <w:t>2</w:t>
      </w:r>
      <w:r>
        <w:fldChar w:fldCharType="end"/>
      </w:r>
      <w:r>
        <w:t xml:space="preserve">: </w:t>
      </w:r>
      <w:r w:rsidR="00DA6726">
        <w:t>P</w:t>
      </w:r>
      <w:r w:rsidRPr="00D214FE">
        <w:t>ure downlink, pure uplink and mixed downlink+uplink</w:t>
      </w:r>
      <w:r w:rsidR="00DA6726">
        <w:t xml:space="preserve"> subframes</w:t>
      </w:r>
    </w:p>
    <w:p w14:paraId="19043F41" w14:textId="5771E5C5" w:rsidR="00227D90" w:rsidRDefault="00227D90" w:rsidP="00227D90">
      <w:pPr>
        <w:pStyle w:val="Observation"/>
      </w:pPr>
      <w:r>
        <w:t xml:space="preserve">The dynamic subframe structure agreed in RAN1 allows flexible allocation of downlink-only, uplink-only and mixed downlink+uplink subframes. </w:t>
      </w:r>
    </w:p>
    <w:p w14:paraId="37F23012" w14:textId="60132B4B" w:rsidR="00227D90" w:rsidRDefault="00227D90" w:rsidP="00227D90">
      <w:r>
        <w:t xml:space="preserve">Beyond this, RAN1 discussed the possibility to start data transmission not only at the beginning of a subframe but also at additional symbols within the subframe. </w:t>
      </w:r>
    </w:p>
    <w:p w14:paraId="1BDF54FB" w14:textId="21BF808A" w:rsidR="00257C9B" w:rsidRDefault="00257C9B" w:rsidP="00257C9B">
      <w:pPr>
        <w:pStyle w:val="Figure"/>
      </w:pPr>
      <w:r w:rsidRPr="00257C9B">
        <w:rPr>
          <w:noProof/>
          <w:lang w:val="sv-SE"/>
        </w:rPr>
        <w:drawing>
          <wp:inline distT="0" distB="0" distL="0" distR="0" wp14:anchorId="274FF682" wp14:editId="3610BB86">
            <wp:extent cx="1375200" cy="5832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75200" cy="583200"/>
                    </a:xfrm>
                    <a:prstGeom prst="rect">
                      <a:avLst/>
                    </a:prstGeom>
                    <a:noFill/>
                    <a:ln>
                      <a:noFill/>
                    </a:ln>
                  </pic:spPr>
                </pic:pic>
              </a:graphicData>
            </a:graphic>
          </wp:inline>
        </w:drawing>
      </w:r>
      <w:r>
        <w:t xml:space="preserve">            </w:t>
      </w:r>
    </w:p>
    <w:p w14:paraId="32146F82" w14:textId="7FAF9879" w:rsidR="00227D90" w:rsidRDefault="00227D90" w:rsidP="00227D90">
      <w:pPr>
        <w:pStyle w:val="Caption"/>
      </w:pPr>
      <w:bookmarkStart w:id="29" w:name="_Ref461466294"/>
      <w:r>
        <w:t xml:space="preserve">Figure </w:t>
      </w:r>
      <w:r>
        <w:fldChar w:fldCharType="begin"/>
      </w:r>
      <w:r>
        <w:instrText xml:space="preserve"> SEQ Figure \* ARABIC </w:instrText>
      </w:r>
      <w:r>
        <w:fldChar w:fldCharType="separate"/>
      </w:r>
      <w:r w:rsidR="005A487F">
        <w:rPr>
          <w:noProof/>
        </w:rPr>
        <w:t>3</w:t>
      </w:r>
      <w:r>
        <w:fldChar w:fldCharType="end"/>
      </w:r>
      <w:bookmarkEnd w:id="29"/>
      <w:r>
        <w:t>: Flexible subframe structure</w:t>
      </w:r>
      <w:r w:rsidR="00257C9B">
        <w:t xml:space="preserve"> options</w:t>
      </w:r>
      <w:r>
        <w:t xml:space="preserve"> with data transmission </w:t>
      </w:r>
      <w:r>
        <w:br/>
        <w:t xml:space="preserve">starting at symbols other than </w:t>
      </w:r>
      <w:r w:rsidR="00257C9B">
        <w:t>“</w:t>
      </w:r>
      <w:r>
        <w:t>symbol 0</w:t>
      </w:r>
      <w:r w:rsidR="00257C9B">
        <w:t xml:space="preserve">” </w:t>
      </w:r>
    </w:p>
    <w:p w14:paraId="7085DE62" w14:textId="28E65DEC" w:rsidR="00227D90" w:rsidRDefault="00227D90" w:rsidP="00227D90">
      <w:r>
        <w:t xml:space="preserve">As shown in </w:t>
      </w:r>
      <w:r>
        <w:fldChar w:fldCharType="begin"/>
      </w:r>
      <w:r>
        <w:instrText xml:space="preserve"> REF _Ref461466294 \h </w:instrText>
      </w:r>
      <w:r>
        <w:fldChar w:fldCharType="separate"/>
      </w:r>
      <w:r w:rsidR="005A487F">
        <w:t xml:space="preserve">Figure </w:t>
      </w:r>
      <w:r w:rsidR="005A487F">
        <w:rPr>
          <w:noProof/>
        </w:rPr>
        <w:t>3</w:t>
      </w:r>
      <w:r>
        <w:fldChar w:fldCharType="end"/>
      </w:r>
      <w:r>
        <w:t>, the resulting mini-TTIs allow both eNB and UE to start transmitting at more fine-granular occasions after successfully completing LBT. With this approach NR combines the benefits of a competitive LBT with those of a centrally scheduled system.</w:t>
      </w:r>
    </w:p>
    <w:p w14:paraId="367B600D" w14:textId="1A143D96" w:rsidR="008019CF" w:rsidRDefault="00227D90" w:rsidP="008019CF">
      <w:pPr>
        <w:pStyle w:val="Observation"/>
      </w:pPr>
      <w:r>
        <w:t xml:space="preserve">The possibility to start UL and DL data </w:t>
      </w:r>
      <w:r w:rsidR="00D7052F">
        <w:t xml:space="preserve">and control </w:t>
      </w:r>
      <w:r>
        <w:t xml:space="preserve">transmissions in </w:t>
      </w:r>
      <w:r w:rsidR="005D023B">
        <w:t xml:space="preserve">different </w:t>
      </w:r>
      <w:r>
        <w:t>symbols o</w:t>
      </w:r>
      <w:r w:rsidR="00ED2CCD">
        <w:t>f</w:t>
      </w:r>
      <w:r>
        <w:t xml:space="preserve"> a subframe makes NR’s medium access more </w:t>
      </w:r>
      <w:r w:rsidR="008019CF">
        <w:t>flexible</w:t>
      </w:r>
      <w:r>
        <w:t xml:space="preserve">. However, it maintains the benefits of a scheduled system as well as the fairness to other systems sharing the same spectrum. </w:t>
      </w:r>
    </w:p>
    <w:p w14:paraId="126AB103" w14:textId="77777777" w:rsidR="00562C1A" w:rsidRPr="00562C1A" w:rsidRDefault="00562C1A" w:rsidP="00562C1A"/>
    <w:p w14:paraId="31EECE8C" w14:textId="4B4FB43E" w:rsidR="00E13026" w:rsidRDefault="00D27B04" w:rsidP="00D27B04">
      <w:pPr>
        <w:pStyle w:val="Heading1"/>
      </w:pPr>
      <w:r>
        <w:t>Text Proposal</w:t>
      </w:r>
    </w:p>
    <w:p w14:paraId="05EEB350" w14:textId="7BAC1ADB" w:rsidR="00AC1E86" w:rsidRPr="00AC1E86" w:rsidRDefault="00AC1E86" w:rsidP="009132F7">
      <w:pPr>
        <w:pStyle w:val="Proposal"/>
      </w:pPr>
      <w:bookmarkStart w:id="30" w:name="_Toc450638560"/>
      <w:bookmarkStart w:id="31" w:name="_Toc450638583"/>
      <w:bookmarkStart w:id="32" w:name="_Toc450929544"/>
      <w:bookmarkStart w:id="33" w:name="_Toc458183166"/>
      <w:bookmarkStart w:id="34" w:name="_Toc461466296"/>
      <w:bookmarkStart w:id="35" w:name="_Toc461466610"/>
      <w:bookmarkStart w:id="36" w:name="_Toc462935378"/>
      <w:bookmarkStart w:id="37" w:name="_Toc462937838"/>
      <w:bookmarkStart w:id="38" w:name="_Toc462938173"/>
      <w:bookmarkStart w:id="39" w:name="_Toc462950272"/>
      <w:bookmarkStart w:id="40" w:name="_Toc462950314"/>
      <w:bookmarkStart w:id="41" w:name="_Toc462950929"/>
      <w:bookmarkStart w:id="42" w:name="_Toc462950943"/>
      <w:bookmarkStart w:id="43" w:name="_Toc463028237"/>
      <w:bookmarkStart w:id="44" w:name="_Toc463028391"/>
      <w:r>
        <w:t xml:space="preserve">Include the text proposal </w:t>
      </w:r>
      <w:r w:rsidR="0073690A">
        <w:t>in</w:t>
      </w:r>
      <w:r>
        <w:t xml:space="preserve"> the technical report</w:t>
      </w:r>
      <w:r w:rsidR="009132F7">
        <w:t xml:space="preserve"> </w:t>
      </w:r>
      <w:r w:rsidR="009132F7" w:rsidRPr="009132F7">
        <w:t>38.804</w:t>
      </w:r>
      <w:r w:rsidR="009132F7">
        <w:t xml:space="preserve"> </w:t>
      </w:r>
      <w:r w:rsidR="009132F7">
        <w:fldChar w:fldCharType="begin"/>
      </w:r>
      <w:r w:rsidR="009132F7">
        <w:instrText xml:space="preserve"> REF _Ref462950912 \n \h </w:instrText>
      </w:r>
      <w:r w:rsidR="009132F7">
        <w:fldChar w:fldCharType="separate"/>
      </w:r>
      <w:r w:rsidR="005A487F">
        <w:t>[2]</w:t>
      </w:r>
      <w:r w:rsidR="009132F7">
        <w:fldChar w:fldCharType="end"/>
      </w:r>
      <w:r w:rsidR="0073690A">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 xml:space="preserve"> </w:t>
      </w:r>
    </w:p>
    <w:tbl>
      <w:tblPr>
        <w:tblStyle w:val="TableGrid"/>
        <w:tblW w:w="0" w:type="auto"/>
        <w:tblLook w:val="05E0" w:firstRow="1" w:lastRow="1" w:firstColumn="1" w:lastColumn="1" w:noHBand="0" w:noVBand="1"/>
      </w:tblPr>
      <w:tblGrid>
        <w:gridCol w:w="9855"/>
      </w:tblGrid>
      <w:tr w:rsidR="00AC1E86" w14:paraId="21EDE9BF" w14:textId="77777777" w:rsidTr="00AC1E86">
        <w:tc>
          <w:tcPr>
            <w:tcW w:w="9855" w:type="dxa"/>
          </w:tcPr>
          <w:p w14:paraId="7B762700" w14:textId="4B3969F1" w:rsidR="00AC1E86" w:rsidRPr="0061087B" w:rsidRDefault="00B37AB4" w:rsidP="00B37AB4">
            <w:pPr>
              <w:pStyle w:val="Heading3"/>
              <w:numPr>
                <w:ilvl w:val="0"/>
                <w:numId w:val="0"/>
              </w:numPr>
              <w:rPr>
                <w:rFonts w:ascii="Times New Roman" w:hAnsi="Times New Roman" w:cs="Times New Roman"/>
              </w:rPr>
            </w:pPr>
            <w:r w:rsidRPr="00B37AB4">
              <w:rPr>
                <w:rFonts w:ascii="Times New Roman" w:hAnsi="Times New Roman" w:cs="Times New Roman"/>
              </w:rPr>
              <w:lastRenderedPageBreak/>
              <w:t>13</w:t>
            </w:r>
            <w:r w:rsidRPr="00B37AB4">
              <w:rPr>
                <w:rFonts w:ascii="Times New Roman" w:hAnsi="Times New Roman" w:cs="Times New Roman"/>
              </w:rPr>
              <w:tab/>
              <w:t>Unlicensed band operation</w:t>
            </w:r>
          </w:p>
          <w:p w14:paraId="26780D49" w14:textId="686EF97C" w:rsidR="00B37AB4" w:rsidRPr="0061087B" w:rsidRDefault="00B37AB4" w:rsidP="00B37AB4">
            <w:pPr>
              <w:rPr>
                <w:ins w:id="45" w:author="Ericsson" w:date="2016-09-29T22:16:00Z"/>
                <w:rFonts w:ascii="Times New Roman" w:hAnsi="Times New Roman"/>
              </w:rPr>
            </w:pPr>
            <w:ins w:id="46" w:author="Ericsson" w:date="2016-09-29T22:16:00Z">
              <w:r w:rsidRPr="0061087B">
                <w:rPr>
                  <w:rFonts w:ascii="Times New Roman" w:hAnsi="Times New Roman"/>
                </w:rPr>
                <w:t>RAN2 investigated the operation of NR in unlicensed spectrum and concluded that the design principle</w:t>
              </w:r>
              <w:r w:rsidR="000F22E4">
                <w:rPr>
                  <w:rFonts w:ascii="Times New Roman" w:hAnsi="Times New Roman"/>
                </w:rPr>
                <w:t>s</w:t>
              </w:r>
              <w:r w:rsidRPr="0061087B">
                <w:rPr>
                  <w:rFonts w:ascii="Times New Roman" w:hAnsi="Times New Roman"/>
                </w:rPr>
                <w:t xml:space="preserve"> </w:t>
              </w:r>
            </w:ins>
            <w:ins w:id="47" w:author="Ericsson" w:date="2016-09-29T22:17:00Z">
              <w:r w:rsidR="000F22E4">
                <w:rPr>
                  <w:rFonts w:ascii="Times New Roman" w:hAnsi="Times New Roman"/>
                </w:rPr>
                <w:t>chosen</w:t>
              </w:r>
              <w:r w:rsidR="000F22E4" w:rsidRPr="0061087B">
                <w:rPr>
                  <w:rFonts w:ascii="Times New Roman" w:hAnsi="Times New Roman"/>
                </w:rPr>
                <w:t xml:space="preserve"> </w:t>
              </w:r>
            </w:ins>
            <w:ins w:id="48" w:author="Ericsson" w:date="2016-09-29T22:16:00Z">
              <w:r w:rsidRPr="0061087B">
                <w:rPr>
                  <w:rFonts w:ascii="Times New Roman" w:hAnsi="Times New Roman"/>
                </w:rPr>
                <w:t xml:space="preserve">for LTE LAA should be inherited </w:t>
              </w:r>
            </w:ins>
            <w:ins w:id="49" w:author="Ericsson" w:date="2016-09-29T22:17:00Z">
              <w:r w:rsidR="000F22E4">
                <w:rPr>
                  <w:rFonts w:ascii="Times New Roman" w:hAnsi="Times New Roman"/>
                </w:rPr>
                <w:t xml:space="preserve">to NR </w:t>
              </w:r>
            </w:ins>
            <w:ins w:id="50" w:author="Ericsson" w:date="2016-09-29T22:16:00Z">
              <w:r w:rsidRPr="0061087B">
                <w:rPr>
                  <w:rFonts w:ascii="Times New Roman" w:hAnsi="Times New Roman"/>
                </w:rPr>
                <w:t xml:space="preserve">in order to ensure the requested future compatibility: </w:t>
              </w:r>
            </w:ins>
          </w:p>
          <w:p w14:paraId="66A26FCD" w14:textId="77777777" w:rsidR="00B37AB4" w:rsidRPr="0061087B" w:rsidRDefault="00B37AB4" w:rsidP="00B37AB4">
            <w:pPr>
              <w:pStyle w:val="B1"/>
              <w:rPr>
                <w:ins w:id="51" w:author="Ericsson" w:date="2016-09-29T22:16:00Z"/>
                <w:rFonts w:ascii="Times New Roman" w:hAnsi="Times New Roman"/>
              </w:rPr>
            </w:pPr>
            <w:ins w:id="52" w:author="Ericsson" w:date="2016-09-29T22:16:00Z">
              <w:r w:rsidRPr="0061087B">
                <w:rPr>
                  <w:rFonts w:ascii="Times New Roman" w:hAnsi="Times New Roman"/>
                </w:rPr>
                <w:t>-</w:t>
              </w:r>
              <w:r w:rsidRPr="0061087B">
                <w:rPr>
                  <w:rFonts w:ascii="Times New Roman" w:hAnsi="Times New Roman"/>
                </w:rPr>
                <w:tab/>
                <w:t>RRM RSSI and channel occupancy measurements were introduced for LTE LAA and should be inherited for NR</w:t>
              </w:r>
            </w:ins>
          </w:p>
          <w:p w14:paraId="00A7F3DA" w14:textId="77777777" w:rsidR="00B37AB4" w:rsidRPr="0061087B" w:rsidRDefault="00B37AB4" w:rsidP="00B37AB4">
            <w:pPr>
              <w:pStyle w:val="B1"/>
              <w:rPr>
                <w:ins w:id="53" w:author="Ericsson" w:date="2016-09-29T22:16:00Z"/>
                <w:rFonts w:ascii="Times New Roman" w:hAnsi="Times New Roman"/>
              </w:rPr>
            </w:pPr>
            <w:ins w:id="54" w:author="Ericsson" w:date="2016-09-29T22:16:00Z">
              <w:r w:rsidRPr="0061087B">
                <w:rPr>
                  <w:rFonts w:ascii="Times New Roman" w:hAnsi="Times New Roman"/>
                </w:rPr>
                <w:t>-</w:t>
              </w:r>
              <w:r w:rsidRPr="0061087B">
                <w:rPr>
                  <w:rFonts w:ascii="Times New Roman" w:hAnsi="Times New Roman"/>
                </w:rPr>
                <w:tab/>
                <w:t>The RRM L3 filtering defined for LTE handles the lack of measurement samples (due to LBT) appropriately and should be inherited for NR</w:t>
              </w:r>
            </w:ins>
          </w:p>
          <w:p w14:paraId="4642A6A5" w14:textId="77777777" w:rsidR="00B37AB4" w:rsidRDefault="00B37AB4" w:rsidP="00B37AB4">
            <w:pPr>
              <w:pStyle w:val="B1"/>
              <w:rPr>
                <w:ins w:id="55" w:author="Ericsson" w:date="2016-09-29T22:18:00Z"/>
                <w:rFonts w:ascii="Times New Roman" w:hAnsi="Times New Roman"/>
              </w:rPr>
            </w:pPr>
            <w:ins w:id="56" w:author="Ericsson" w:date="2016-09-29T22:16:00Z">
              <w:r w:rsidRPr="0061087B">
                <w:rPr>
                  <w:rFonts w:ascii="Times New Roman" w:hAnsi="Times New Roman"/>
                </w:rPr>
                <w:t>-</w:t>
              </w:r>
              <w:r w:rsidRPr="0061087B">
                <w:rPr>
                  <w:rFonts w:ascii="Times New Roman" w:hAnsi="Times New Roman"/>
                </w:rPr>
                <w:tab/>
                <w:t>Asynchronous HARQ was already chosen for NR and it is also the most suitable choice for operating NR in unlicensed spectrum</w:t>
              </w:r>
            </w:ins>
          </w:p>
          <w:p w14:paraId="3C769CA0" w14:textId="2FD826B3" w:rsidR="000F22E4" w:rsidRPr="0061087B" w:rsidRDefault="000F22E4" w:rsidP="00B37AB4">
            <w:pPr>
              <w:pStyle w:val="B1"/>
              <w:rPr>
                <w:ins w:id="57" w:author="Ericsson" w:date="2016-09-29T22:16:00Z"/>
                <w:rFonts w:ascii="Times New Roman" w:hAnsi="Times New Roman"/>
              </w:rPr>
            </w:pPr>
            <w:ins w:id="58" w:author="Ericsson" w:date="2016-09-29T22:18:00Z">
              <w:r>
                <w:rPr>
                  <w:rFonts w:ascii="Times New Roman" w:hAnsi="Times New Roman"/>
                </w:rPr>
                <w:t>-</w:t>
              </w:r>
              <w:r>
                <w:rPr>
                  <w:rFonts w:ascii="Times New Roman" w:hAnsi="Times New Roman"/>
                </w:rPr>
                <w:tab/>
              </w:r>
              <w:r w:rsidRPr="000F22E4">
                <w:rPr>
                  <w:rFonts w:ascii="Times New Roman" w:hAnsi="Times New Roman"/>
                </w:rPr>
                <w:t>The current MAC protocol is written in a time-agnostic manner with respect to the provisioning of HARQ feedback to L1. Hence, the existing LTE MAC protocol already offers support for asynchronous HARQ feedback as needed when UCI is mapped to unlicensed carriers</w:t>
              </w:r>
            </w:ins>
          </w:p>
          <w:p w14:paraId="05FFE77B" w14:textId="77777777" w:rsidR="00B37AB4" w:rsidRPr="0061087B" w:rsidRDefault="00B37AB4" w:rsidP="00B37AB4">
            <w:pPr>
              <w:pStyle w:val="B1"/>
              <w:rPr>
                <w:ins w:id="59" w:author="Ericsson" w:date="2016-09-29T22:16:00Z"/>
                <w:rFonts w:ascii="Times New Roman" w:hAnsi="Times New Roman"/>
              </w:rPr>
            </w:pPr>
            <w:ins w:id="60" w:author="Ericsson" w:date="2016-09-29T22:16:00Z">
              <w:r w:rsidRPr="0061087B">
                <w:rPr>
                  <w:rFonts w:ascii="Times New Roman" w:hAnsi="Times New Roman"/>
                </w:rPr>
                <w:t>-</w:t>
              </w:r>
              <w:r w:rsidRPr="0061087B">
                <w:rPr>
                  <w:rFonts w:ascii="Times New Roman" w:hAnsi="Times New Roman"/>
                </w:rPr>
                <w:tab/>
                <w:t>NR inherits from LTE LAA the possibility to restrict which uplink radio bearer (logical channel) the UE may map to a carrier operating in unlicensed spectrum</w:t>
              </w:r>
            </w:ins>
          </w:p>
          <w:p w14:paraId="456008F7" w14:textId="77777777" w:rsidR="00B37AB4" w:rsidRPr="0061087B" w:rsidRDefault="00B37AB4" w:rsidP="00B37AB4">
            <w:pPr>
              <w:pStyle w:val="B1"/>
              <w:rPr>
                <w:ins w:id="61" w:author="Ericsson" w:date="2016-09-29T22:16:00Z"/>
                <w:rFonts w:ascii="Times New Roman" w:hAnsi="Times New Roman"/>
              </w:rPr>
            </w:pPr>
            <w:ins w:id="62" w:author="Ericsson" w:date="2016-09-29T22:16:00Z">
              <w:r w:rsidRPr="0061087B">
                <w:rPr>
                  <w:rFonts w:ascii="Times New Roman" w:hAnsi="Times New Roman"/>
                </w:rPr>
                <w:t>-</w:t>
              </w:r>
              <w:r w:rsidRPr="0061087B">
                <w:rPr>
                  <w:rFonts w:ascii="Times New Roman" w:hAnsi="Times New Roman"/>
                </w:rPr>
                <w:tab/>
                <w:t>The random access handling inherited from LTE LAA is suitable also for NR, i.e., the NR UE shall increase the preamble count but not ramp the power when dropping a preamble due to failed LBT</w:t>
              </w:r>
            </w:ins>
          </w:p>
          <w:p w14:paraId="1044B6D0" w14:textId="77777777" w:rsidR="00B37AB4" w:rsidRPr="0061087B" w:rsidRDefault="00B37AB4" w:rsidP="00B37AB4">
            <w:pPr>
              <w:rPr>
                <w:ins w:id="63" w:author="Ericsson" w:date="2016-09-29T22:16:00Z"/>
                <w:rFonts w:ascii="Times New Roman" w:hAnsi="Times New Roman"/>
              </w:rPr>
            </w:pPr>
            <w:ins w:id="64" w:author="Ericsson" w:date="2016-09-29T22:16:00Z">
              <w:r w:rsidRPr="0061087B">
                <w:rPr>
                  <w:rFonts w:ascii="Times New Roman" w:hAnsi="Times New Roman"/>
                </w:rPr>
                <w:t>Besides these aspects, RAN2 has identified the following aspects that require special attention in order to ensure the required future compatibility for operating NR in unlicensed spectrum:</w:t>
              </w:r>
            </w:ins>
          </w:p>
          <w:p w14:paraId="3725FD30" w14:textId="77777777" w:rsidR="00B37AB4" w:rsidRPr="0061087B" w:rsidRDefault="00B37AB4" w:rsidP="00B37AB4">
            <w:pPr>
              <w:pStyle w:val="B1"/>
              <w:rPr>
                <w:ins w:id="65" w:author="Ericsson" w:date="2016-09-29T22:16:00Z"/>
                <w:rFonts w:ascii="Times New Roman" w:hAnsi="Times New Roman"/>
              </w:rPr>
            </w:pPr>
            <w:ins w:id="66" w:author="Ericsson" w:date="2016-09-29T22:16:00Z">
              <w:r w:rsidRPr="0061087B">
                <w:rPr>
                  <w:rFonts w:ascii="Times New Roman" w:hAnsi="Times New Roman"/>
                </w:rPr>
                <w:t>-</w:t>
              </w:r>
              <w:r w:rsidRPr="0061087B">
                <w:rPr>
                  <w:rFonts w:ascii="Times New Roman" w:hAnsi="Times New Roman"/>
                </w:rPr>
                <w:tab/>
                <w:t>The NR UE should be able to cope with delayed or dropped MIB/SIB occurrences due to failed LBT</w:t>
              </w:r>
            </w:ins>
          </w:p>
          <w:p w14:paraId="476EFA0C" w14:textId="77777777" w:rsidR="00B37AB4" w:rsidRPr="0061087B" w:rsidRDefault="00B37AB4" w:rsidP="00B37AB4">
            <w:pPr>
              <w:pStyle w:val="B1"/>
              <w:rPr>
                <w:ins w:id="67" w:author="Ericsson" w:date="2016-09-29T22:16:00Z"/>
                <w:rFonts w:ascii="Times New Roman" w:hAnsi="Times New Roman"/>
              </w:rPr>
            </w:pPr>
            <w:ins w:id="68" w:author="Ericsson" w:date="2016-09-29T22:16:00Z">
              <w:r w:rsidRPr="0061087B">
                <w:rPr>
                  <w:rFonts w:ascii="Times New Roman" w:hAnsi="Times New Roman"/>
                </w:rPr>
                <w:t>-</w:t>
              </w:r>
              <w:r w:rsidRPr="0061087B">
                <w:rPr>
                  <w:rFonts w:ascii="Times New Roman" w:hAnsi="Times New Roman"/>
                </w:rPr>
                <w:tab/>
                <w:t>System information (and corresponding reference signals) should be sparse in time in particular when the system is otherwise IDLE (no user data)</w:t>
              </w:r>
            </w:ins>
          </w:p>
          <w:p w14:paraId="68D080E6" w14:textId="077B6F83" w:rsidR="00532DE0" w:rsidRPr="00304B9E" w:rsidRDefault="00B37AB4" w:rsidP="00B37AB4">
            <w:pPr>
              <w:pStyle w:val="B1"/>
              <w:rPr>
                <w:highlight w:val="yellow"/>
              </w:rPr>
            </w:pPr>
            <w:ins w:id="69" w:author="Ericsson" w:date="2016-09-29T22:16:00Z">
              <w:r w:rsidRPr="0061087B">
                <w:rPr>
                  <w:rFonts w:ascii="Times New Roman" w:hAnsi="Times New Roman"/>
                </w:rPr>
                <w:t>-</w:t>
              </w:r>
              <w:r w:rsidRPr="0061087B">
                <w:rPr>
                  <w:rFonts w:ascii="Times New Roman" w:hAnsi="Times New Roman"/>
                </w:rPr>
                <w:tab/>
                <w:t>The NR UE should be able to cope with delayed Paging messages due to failed LBT</w:t>
              </w:r>
            </w:ins>
          </w:p>
        </w:tc>
      </w:tr>
    </w:tbl>
    <w:p w14:paraId="6474689E" w14:textId="77777777" w:rsidR="00E13026" w:rsidRDefault="00E13026" w:rsidP="00527763">
      <w:pPr>
        <w:pStyle w:val="BodyText"/>
        <w:rPr>
          <w:b/>
          <w:highlight w:val="yellow"/>
        </w:rPr>
      </w:pPr>
    </w:p>
    <w:p w14:paraId="32411E22" w14:textId="77777777" w:rsidR="00C01F33" w:rsidRPr="00CE0424" w:rsidRDefault="00C01F33" w:rsidP="00CE0424">
      <w:pPr>
        <w:pStyle w:val="Heading1"/>
      </w:pPr>
      <w:r w:rsidRPr="00CE0424">
        <w:t>Conclusion</w:t>
      </w:r>
    </w:p>
    <w:p w14:paraId="7481E612" w14:textId="77777777" w:rsidR="006F4FD4" w:rsidRDefault="008E065E" w:rsidP="008E065E">
      <w:pPr>
        <w:pStyle w:val="BodyText"/>
        <w:rPr>
          <w:noProof/>
        </w:rPr>
      </w:pPr>
      <w:r w:rsidRPr="00CE0424">
        <w:t xml:space="preserve">Based on the discussion in section </w:t>
      </w:r>
      <w:r w:rsidR="00AC1E86">
        <w:fldChar w:fldCharType="begin"/>
      </w:r>
      <w:r w:rsidR="00AC1E86">
        <w:instrText xml:space="preserve"> REF _Ref450638578 \n \h </w:instrText>
      </w:r>
      <w:r w:rsidR="00AC1E86">
        <w:fldChar w:fldCharType="separate"/>
      </w:r>
      <w:r w:rsidR="005A487F">
        <w:t>2</w:t>
      </w:r>
      <w:r w:rsidR="00AC1E86">
        <w:fldChar w:fldCharType="end"/>
      </w:r>
      <w:r w:rsidR="00AC1E86">
        <w:t xml:space="preserve"> </w:t>
      </w:r>
      <w:r w:rsidRPr="00CE0424">
        <w:t>we propose the following:</w:t>
      </w:r>
      <w:r>
        <w:rPr>
          <w:b/>
          <w:bCs/>
        </w:rPr>
        <w:fldChar w:fldCharType="begin"/>
      </w:r>
      <w:r>
        <w:rPr>
          <w:b/>
          <w:bCs/>
        </w:rPr>
        <w:instrText xml:space="preserve"> TOC \f \n \p " " \t "Proposal;1" </w:instrText>
      </w:r>
      <w:r>
        <w:rPr>
          <w:b/>
          <w:bCs/>
        </w:rPr>
        <w:fldChar w:fldCharType="separate"/>
      </w:r>
    </w:p>
    <w:p w14:paraId="366443AA" w14:textId="77777777" w:rsidR="006F4FD4" w:rsidRPr="006F4FD4" w:rsidRDefault="006F4FD4">
      <w:pPr>
        <w:pStyle w:val="TOC1"/>
        <w:rPr>
          <w:rFonts w:asciiTheme="minorHAnsi" w:eastAsiaTheme="minorEastAsia" w:hAnsiTheme="minorHAnsi" w:cstheme="minorBidi"/>
          <w:b w:val="0"/>
          <w:sz w:val="22"/>
        </w:rPr>
      </w:pPr>
      <w:bookmarkStart w:id="70" w:name="_GoBack"/>
      <w:bookmarkEnd w:id="70"/>
      <w:r>
        <w:t>Proposal 1</w:t>
      </w:r>
      <w:r w:rsidRPr="006F4FD4">
        <w:rPr>
          <w:rFonts w:asciiTheme="minorHAnsi" w:eastAsiaTheme="minorEastAsia" w:hAnsiTheme="minorHAnsi" w:cstheme="minorBidi"/>
          <w:b w:val="0"/>
          <w:sz w:val="22"/>
        </w:rPr>
        <w:tab/>
      </w:r>
      <w:r>
        <w:t>The NR UE should be able to cope with delayed or dropped MIB/SIB occurrences due to failed LBT</w:t>
      </w:r>
    </w:p>
    <w:p w14:paraId="3F84A5CD" w14:textId="77777777" w:rsidR="006F4FD4" w:rsidRPr="006F4FD4" w:rsidRDefault="006F4FD4">
      <w:pPr>
        <w:pStyle w:val="TOC1"/>
        <w:rPr>
          <w:rFonts w:asciiTheme="minorHAnsi" w:eastAsiaTheme="minorEastAsia" w:hAnsiTheme="minorHAnsi" w:cstheme="minorBidi"/>
          <w:b w:val="0"/>
          <w:sz w:val="22"/>
        </w:rPr>
      </w:pPr>
      <w:r>
        <w:t>Proposal 2</w:t>
      </w:r>
      <w:r w:rsidRPr="006F4FD4">
        <w:rPr>
          <w:rFonts w:asciiTheme="minorHAnsi" w:eastAsiaTheme="minorEastAsia" w:hAnsiTheme="minorHAnsi" w:cstheme="minorBidi"/>
          <w:b w:val="0"/>
          <w:sz w:val="22"/>
        </w:rPr>
        <w:tab/>
      </w:r>
      <w:r>
        <w:t>It should be possible to configure System Information (and corresponding reference signals) to be sparse in time.</w:t>
      </w:r>
    </w:p>
    <w:p w14:paraId="5ED98987" w14:textId="77777777" w:rsidR="006F4FD4" w:rsidRPr="006F4FD4" w:rsidRDefault="006F4FD4">
      <w:pPr>
        <w:pStyle w:val="TOC1"/>
        <w:rPr>
          <w:rFonts w:asciiTheme="minorHAnsi" w:eastAsiaTheme="minorEastAsia" w:hAnsiTheme="minorHAnsi" w:cstheme="minorBidi"/>
          <w:b w:val="0"/>
          <w:sz w:val="22"/>
        </w:rPr>
      </w:pPr>
      <w:r>
        <w:t>Proposal 3</w:t>
      </w:r>
      <w:r w:rsidRPr="006F4FD4">
        <w:rPr>
          <w:rFonts w:asciiTheme="minorHAnsi" w:eastAsiaTheme="minorEastAsia" w:hAnsiTheme="minorHAnsi" w:cstheme="minorBidi"/>
          <w:b w:val="0"/>
          <w:sz w:val="22"/>
        </w:rPr>
        <w:tab/>
      </w:r>
      <w:r>
        <w:t>The NR UE should be able to cope with delayed Paging messages due to failed LBT</w:t>
      </w:r>
    </w:p>
    <w:p w14:paraId="5A7DFB00" w14:textId="77777777" w:rsidR="006F4FD4" w:rsidRPr="006F4FD4" w:rsidRDefault="006F4FD4">
      <w:pPr>
        <w:pStyle w:val="TOC1"/>
        <w:rPr>
          <w:rFonts w:asciiTheme="minorHAnsi" w:eastAsiaTheme="minorEastAsia" w:hAnsiTheme="minorHAnsi" w:cstheme="minorBidi"/>
          <w:b w:val="0"/>
          <w:sz w:val="22"/>
        </w:rPr>
      </w:pPr>
      <w:r>
        <w:t>Proposal 4</w:t>
      </w:r>
      <w:r w:rsidRPr="006F4FD4">
        <w:rPr>
          <w:rFonts w:asciiTheme="minorHAnsi" w:eastAsiaTheme="minorEastAsia" w:hAnsiTheme="minorHAnsi" w:cstheme="minorBidi"/>
          <w:b w:val="0"/>
          <w:sz w:val="22"/>
        </w:rPr>
        <w:tab/>
      </w:r>
      <w:r>
        <w:t>Include the text proposal in the technical report 38.804 [2].</w:t>
      </w:r>
    </w:p>
    <w:p w14:paraId="4E374EBA" w14:textId="7C151956" w:rsidR="00C01F33" w:rsidRPr="00CE0424" w:rsidRDefault="008E065E" w:rsidP="006E062C">
      <w:r>
        <w:rPr>
          <w:b/>
          <w:bCs/>
        </w:rPr>
        <w:fldChar w:fldCharType="end"/>
      </w:r>
    </w:p>
    <w:p w14:paraId="3AD4134E" w14:textId="77777777" w:rsidR="00F507D1" w:rsidRPr="00CE0424" w:rsidRDefault="00F507D1" w:rsidP="00CE0424">
      <w:pPr>
        <w:pStyle w:val="Heading1"/>
      </w:pPr>
      <w:bookmarkStart w:id="71" w:name="_In-sequence_SDU_delivery"/>
      <w:bookmarkEnd w:id="71"/>
      <w:r w:rsidRPr="00CE0424">
        <w:t>References</w:t>
      </w:r>
    </w:p>
    <w:p w14:paraId="0859ADA2" w14:textId="08083713" w:rsidR="005F3025" w:rsidRDefault="004C437E" w:rsidP="004C437E">
      <w:pPr>
        <w:pStyle w:val="Reference"/>
      </w:pPr>
      <w:bookmarkStart w:id="72" w:name="_Ref446078197"/>
      <w:bookmarkStart w:id="73" w:name="_Ref174151459"/>
      <w:bookmarkStart w:id="74" w:name="_Ref189809556"/>
      <w:r>
        <w:t xml:space="preserve">3GPP TR </w:t>
      </w:r>
      <w:hyperlink r:id="rId18" w:history="1">
        <w:r w:rsidRPr="004C437E">
          <w:rPr>
            <w:rStyle w:val="Hyperlink"/>
          </w:rPr>
          <w:t>36.889</w:t>
        </w:r>
      </w:hyperlink>
      <w:r>
        <w:t>; “</w:t>
      </w:r>
      <w:r w:rsidRPr="004C437E">
        <w:t>Study on Licensed-Assisted Access to Unlicensed Spectrum</w:t>
      </w:r>
      <w:r>
        <w:t>”; v13.0.0; 2015-06</w:t>
      </w:r>
      <w:bookmarkEnd w:id="72"/>
    </w:p>
    <w:p w14:paraId="65C28E0D" w14:textId="663EEF48" w:rsidR="00E4321D" w:rsidRDefault="00E4321D" w:rsidP="00E4321D">
      <w:pPr>
        <w:pStyle w:val="Reference"/>
      </w:pPr>
      <w:bookmarkStart w:id="75" w:name="_Ref462950912"/>
      <w:r w:rsidRPr="00E4321D">
        <w:t xml:space="preserve">3GPP TR </w:t>
      </w:r>
      <w:hyperlink r:id="rId19" w:history="1">
        <w:r w:rsidRPr="00823733">
          <w:rPr>
            <w:rStyle w:val="Hyperlink"/>
          </w:rPr>
          <w:t>38.804</w:t>
        </w:r>
      </w:hyperlink>
      <w:r>
        <w:t>; “Study on New Radio Access Technology; Radio Interface Protocol Aspects”, Rel-14</w:t>
      </w:r>
      <w:bookmarkEnd w:id="75"/>
    </w:p>
    <w:bookmarkEnd w:id="73"/>
    <w:bookmarkEnd w:id="74"/>
    <w:p w14:paraId="7D600D9A" w14:textId="77777777" w:rsidR="00954A43" w:rsidRPr="00954A43" w:rsidRDefault="00954A43" w:rsidP="00954A43">
      <w:pPr>
        <w:pStyle w:val="BodyText"/>
      </w:pPr>
    </w:p>
    <w:sectPr w:rsidR="00954A43" w:rsidRPr="00954A43">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D1BC8" w14:textId="77777777" w:rsidR="00C52CC7" w:rsidRDefault="00C52CC7">
      <w:r>
        <w:separator/>
      </w:r>
    </w:p>
  </w:endnote>
  <w:endnote w:type="continuationSeparator" w:id="0">
    <w:p w14:paraId="58E3EE24" w14:textId="77777777" w:rsidR="00C52CC7" w:rsidRDefault="00C52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ABAE2" w14:textId="643A15E3" w:rsidR="00ED5CC8" w:rsidRDefault="00ED5C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4FD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4FD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187FC" w14:textId="77777777" w:rsidR="00C52CC7" w:rsidRDefault="00C52CC7">
      <w:r>
        <w:separator/>
      </w:r>
    </w:p>
  </w:footnote>
  <w:footnote w:type="continuationSeparator" w:id="0">
    <w:p w14:paraId="246E1831" w14:textId="77777777" w:rsidR="00C52CC7" w:rsidRDefault="00C52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1338B" w14:textId="77777777" w:rsidR="00ED5CC8" w:rsidRDefault="00ED5C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834A9A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E9145C"/>
    <w:multiLevelType w:val="singleLevel"/>
    <w:tmpl w:val="8260FA12"/>
    <w:lvl w:ilvl="0">
      <w:start w:val="1"/>
      <w:numFmt w:val="lowerLetter"/>
      <w:lvlText w:val="%1)"/>
      <w:legacy w:legacy="1" w:legacySpace="0" w:legacyIndent="283"/>
      <w:lvlJc w:val="left"/>
      <w:pPr>
        <w:ind w:left="567" w:hanging="283"/>
      </w:pPr>
    </w:lvl>
  </w:abstractNum>
  <w:abstractNum w:abstractNumId="6"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8782E"/>
    <w:multiLevelType w:val="hybridMultilevel"/>
    <w:tmpl w:val="8E026F54"/>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311B5D"/>
    <w:multiLevelType w:val="hybridMultilevel"/>
    <w:tmpl w:val="E410B94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16"/>
  </w:num>
  <w:num w:numId="15">
    <w:abstractNumId w:val="3"/>
  </w:num>
  <w:num w:numId="16">
    <w:abstractNumId w:val="5"/>
  </w:num>
  <w:num w:numId="17">
    <w:abstractNumId w:val="17"/>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CA"/>
    <w:rsid w:val="000006E1"/>
    <w:rsid w:val="00002A37"/>
    <w:rsid w:val="00006446"/>
    <w:rsid w:val="00006896"/>
    <w:rsid w:val="00007CDC"/>
    <w:rsid w:val="00011B28"/>
    <w:rsid w:val="00015D15"/>
    <w:rsid w:val="000205BA"/>
    <w:rsid w:val="00022291"/>
    <w:rsid w:val="0002564D"/>
    <w:rsid w:val="00025ECA"/>
    <w:rsid w:val="0002703A"/>
    <w:rsid w:val="00030EDC"/>
    <w:rsid w:val="000325B8"/>
    <w:rsid w:val="00034C15"/>
    <w:rsid w:val="00035608"/>
    <w:rsid w:val="00036BA1"/>
    <w:rsid w:val="000422E2"/>
    <w:rsid w:val="00042F22"/>
    <w:rsid w:val="000444EF"/>
    <w:rsid w:val="00052A07"/>
    <w:rsid w:val="000534E3"/>
    <w:rsid w:val="0005606A"/>
    <w:rsid w:val="00057117"/>
    <w:rsid w:val="000616E7"/>
    <w:rsid w:val="0006424A"/>
    <w:rsid w:val="0006487E"/>
    <w:rsid w:val="00065774"/>
    <w:rsid w:val="00065E1A"/>
    <w:rsid w:val="000733E7"/>
    <w:rsid w:val="0007400E"/>
    <w:rsid w:val="0007631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75"/>
    <w:rsid w:val="000B2719"/>
    <w:rsid w:val="000B3A8F"/>
    <w:rsid w:val="000B4AB9"/>
    <w:rsid w:val="000B58C3"/>
    <w:rsid w:val="000B61E9"/>
    <w:rsid w:val="000B72E3"/>
    <w:rsid w:val="000C0570"/>
    <w:rsid w:val="000C165A"/>
    <w:rsid w:val="000C2E19"/>
    <w:rsid w:val="000C4F1B"/>
    <w:rsid w:val="000C6956"/>
    <w:rsid w:val="000D0D07"/>
    <w:rsid w:val="000D4797"/>
    <w:rsid w:val="000E0527"/>
    <w:rsid w:val="000E1E92"/>
    <w:rsid w:val="000E2107"/>
    <w:rsid w:val="000F06D6"/>
    <w:rsid w:val="000F0EB1"/>
    <w:rsid w:val="000F1106"/>
    <w:rsid w:val="000F22E4"/>
    <w:rsid w:val="000F3BE9"/>
    <w:rsid w:val="000F3F6C"/>
    <w:rsid w:val="000F6DF3"/>
    <w:rsid w:val="001005FF"/>
    <w:rsid w:val="001062FB"/>
    <w:rsid w:val="001063E6"/>
    <w:rsid w:val="00106F64"/>
    <w:rsid w:val="00113CF4"/>
    <w:rsid w:val="001153EA"/>
    <w:rsid w:val="00115643"/>
    <w:rsid w:val="001164BA"/>
    <w:rsid w:val="00116765"/>
    <w:rsid w:val="001219F5"/>
    <w:rsid w:val="00121A20"/>
    <w:rsid w:val="0012377F"/>
    <w:rsid w:val="00124314"/>
    <w:rsid w:val="001245BD"/>
    <w:rsid w:val="00126B4A"/>
    <w:rsid w:val="00132FD0"/>
    <w:rsid w:val="001344C0"/>
    <w:rsid w:val="001346FA"/>
    <w:rsid w:val="00135252"/>
    <w:rsid w:val="00137AB5"/>
    <w:rsid w:val="00137F0B"/>
    <w:rsid w:val="00141309"/>
    <w:rsid w:val="00151E23"/>
    <w:rsid w:val="001526E0"/>
    <w:rsid w:val="001551B5"/>
    <w:rsid w:val="001659C1"/>
    <w:rsid w:val="00172199"/>
    <w:rsid w:val="00173A8E"/>
    <w:rsid w:val="001741E6"/>
    <w:rsid w:val="001807E5"/>
    <w:rsid w:val="0018143F"/>
    <w:rsid w:val="00184CD0"/>
    <w:rsid w:val="00190AC1"/>
    <w:rsid w:val="0019341A"/>
    <w:rsid w:val="00197DF9"/>
    <w:rsid w:val="001A1987"/>
    <w:rsid w:val="001A2564"/>
    <w:rsid w:val="001A48C6"/>
    <w:rsid w:val="001A6173"/>
    <w:rsid w:val="001A6CBA"/>
    <w:rsid w:val="001B0D97"/>
    <w:rsid w:val="001B5A5D"/>
    <w:rsid w:val="001C1CE5"/>
    <w:rsid w:val="001C3D2A"/>
    <w:rsid w:val="001D5096"/>
    <w:rsid w:val="001D51BA"/>
    <w:rsid w:val="001D6342"/>
    <w:rsid w:val="001D6D53"/>
    <w:rsid w:val="001E58E2"/>
    <w:rsid w:val="001E7AED"/>
    <w:rsid w:val="001F3916"/>
    <w:rsid w:val="001F46FA"/>
    <w:rsid w:val="001F54C5"/>
    <w:rsid w:val="001F662C"/>
    <w:rsid w:val="001F7074"/>
    <w:rsid w:val="00200490"/>
    <w:rsid w:val="00201F3A"/>
    <w:rsid w:val="00203B5D"/>
    <w:rsid w:val="00203F96"/>
    <w:rsid w:val="002069B2"/>
    <w:rsid w:val="0020772D"/>
    <w:rsid w:val="00207FA3"/>
    <w:rsid w:val="00214DA8"/>
    <w:rsid w:val="00215423"/>
    <w:rsid w:val="002158FA"/>
    <w:rsid w:val="00220600"/>
    <w:rsid w:val="002224DB"/>
    <w:rsid w:val="00223FCB"/>
    <w:rsid w:val="002252C3"/>
    <w:rsid w:val="00225C54"/>
    <w:rsid w:val="00227D90"/>
    <w:rsid w:val="00230765"/>
    <w:rsid w:val="00231881"/>
    <w:rsid w:val="002319E4"/>
    <w:rsid w:val="00234979"/>
    <w:rsid w:val="00235632"/>
    <w:rsid w:val="00235872"/>
    <w:rsid w:val="00241559"/>
    <w:rsid w:val="00242659"/>
    <w:rsid w:val="002435B3"/>
    <w:rsid w:val="002458EB"/>
    <w:rsid w:val="002500C8"/>
    <w:rsid w:val="00254D90"/>
    <w:rsid w:val="00257543"/>
    <w:rsid w:val="00257C9B"/>
    <w:rsid w:val="002617E7"/>
    <w:rsid w:val="00264228"/>
    <w:rsid w:val="00264334"/>
    <w:rsid w:val="0026473E"/>
    <w:rsid w:val="00266214"/>
    <w:rsid w:val="0026660A"/>
    <w:rsid w:val="00267C83"/>
    <w:rsid w:val="0027144F"/>
    <w:rsid w:val="00271813"/>
    <w:rsid w:val="00271F3A"/>
    <w:rsid w:val="00273278"/>
    <w:rsid w:val="002737F4"/>
    <w:rsid w:val="002805F5"/>
    <w:rsid w:val="00280751"/>
    <w:rsid w:val="00282701"/>
    <w:rsid w:val="0028280A"/>
    <w:rsid w:val="00286ACD"/>
    <w:rsid w:val="00287838"/>
    <w:rsid w:val="002907B5"/>
    <w:rsid w:val="00292EB7"/>
    <w:rsid w:val="00296227"/>
    <w:rsid w:val="00296F44"/>
    <w:rsid w:val="0029777D"/>
    <w:rsid w:val="002A055E"/>
    <w:rsid w:val="002A1D4E"/>
    <w:rsid w:val="002A2869"/>
    <w:rsid w:val="002B24D6"/>
    <w:rsid w:val="002C05EE"/>
    <w:rsid w:val="002C41E6"/>
    <w:rsid w:val="002C45A7"/>
    <w:rsid w:val="002D071A"/>
    <w:rsid w:val="002D12A5"/>
    <w:rsid w:val="002D34B2"/>
    <w:rsid w:val="002D7637"/>
    <w:rsid w:val="002E17F2"/>
    <w:rsid w:val="002E7CAE"/>
    <w:rsid w:val="002F2771"/>
    <w:rsid w:val="002F37A9"/>
    <w:rsid w:val="00301CE6"/>
    <w:rsid w:val="0030256B"/>
    <w:rsid w:val="00304B9E"/>
    <w:rsid w:val="0030501F"/>
    <w:rsid w:val="00307BA1"/>
    <w:rsid w:val="00310938"/>
    <w:rsid w:val="00311702"/>
    <w:rsid w:val="00311E82"/>
    <w:rsid w:val="00313FD6"/>
    <w:rsid w:val="003143BD"/>
    <w:rsid w:val="003203ED"/>
    <w:rsid w:val="00322C9F"/>
    <w:rsid w:val="00324D23"/>
    <w:rsid w:val="00325D8B"/>
    <w:rsid w:val="00331751"/>
    <w:rsid w:val="00332EB5"/>
    <w:rsid w:val="00334579"/>
    <w:rsid w:val="00335858"/>
    <w:rsid w:val="00336BDA"/>
    <w:rsid w:val="00341DAD"/>
    <w:rsid w:val="00342BD7"/>
    <w:rsid w:val="0034510C"/>
    <w:rsid w:val="00346DB5"/>
    <w:rsid w:val="003477B1"/>
    <w:rsid w:val="00350271"/>
    <w:rsid w:val="00350875"/>
    <w:rsid w:val="00350BFC"/>
    <w:rsid w:val="00357380"/>
    <w:rsid w:val="00357CBD"/>
    <w:rsid w:val="003602D9"/>
    <w:rsid w:val="003604CE"/>
    <w:rsid w:val="00365DE9"/>
    <w:rsid w:val="00370E47"/>
    <w:rsid w:val="0037359C"/>
    <w:rsid w:val="003742AC"/>
    <w:rsid w:val="00374637"/>
    <w:rsid w:val="00377CE1"/>
    <w:rsid w:val="0038027C"/>
    <w:rsid w:val="00380AF2"/>
    <w:rsid w:val="00385A8B"/>
    <w:rsid w:val="00385BF0"/>
    <w:rsid w:val="00387E45"/>
    <w:rsid w:val="003939FF"/>
    <w:rsid w:val="0039757C"/>
    <w:rsid w:val="003A2223"/>
    <w:rsid w:val="003A2A0F"/>
    <w:rsid w:val="003A45A1"/>
    <w:rsid w:val="003A5B0A"/>
    <w:rsid w:val="003A6BAC"/>
    <w:rsid w:val="003A7EF3"/>
    <w:rsid w:val="003B159C"/>
    <w:rsid w:val="003B369F"/>
    <w:rsid w:val="003B36A3"/>
    <w:rsid w:val="003B7FE5"/>
    <w:rsid w:val="003C11C8"/>
    <w:rsid w:val="003C2702"/>
    <w:rsid w:val="003C6B78"/>
    <w:rsid w:val="003C7806"/>
    <w:rsid w:val="003D0016"/>
    <w:rsid w:val="003D109F"/>
    <w:rsid w:val="003D2478"/>
    <w:rsid w:val="003D3143"/>
    <w:rsid w:val="003D3C45"/>
    <w:rsid w:val="003D5B1F"/>
    <w:rsid w:val="003E15FA"/>
    <w:rsid w:val="003E55E4"/>
    <w:rsid w:val="003E74E3"/>
    <w:rsid w:val="003F05C7"/>
    <w:rsid w:val="003F2C1A"/>
    <w:rsid w:val="003F2CD4"/>
    <w:rsid w:val="003F6BBE"/>
    <w:rsid w:val="004000E8"/>
    <w:rsid w:val="00402E2B"/>
    <w:rsid w:val="0040512B"/>
    <w:rsid w:val="00405CA5"/>
    <w:rsid w:val="00405CB6"/>
    <w:rsid w:val="00406C8D"/>
    <w:rsid w:val="00407CD3"/>
    <w:rsid w:val="00410134"/>
    <w:rsid w:val="00410B72"/>
    <w:rsid w:val="00410F18"/>
    <w:rsid w:val="0041263E"/>
    <w:rsid w:val="00413A1B"/>
    <w:rsid w:val="00413AAC"/>
    <w:rsid w:val="00413E92"/>
    <w:rsid w:val="00421105"/>
    <w:rsid w:val="004242F4"/>
    <w:rsid w:val="00427248"/>
    <w:rsid w:val="00427C01"/>
    <w:rsid w:val="00435EB4"/>
    <w:rsid w:val="00437447"/>
    <w:rsid w:val="00440177"/>
    <w:rsid w:val="00441A92"/>
    <w:rsid w:val="00444F56"/>
    <w:rsid w:val="00446488"/>
    <w:rsid w:val="004517AA"/>
    <w:rsid w:val="00452CAC"/>
    <w:rsid w:val="00457565"/>
    <w:rsid w:val="00457B71"/>
    <w:rsid w:val="004669E2"/>
    <w:rsid w:val="00470C31"/>
    <w:rsid w:val="004734D0"/>
    <w:rsid w:val="00474030"/>
    <w:rsid w:val="0047556B"/>
    <w:rsid w:val="00477768"/>
    <w:rsid w:val="00492BC5"/>
    <w:rsid w:val="004964F1"/>
    <w:rsid w:val="004A16BC"/>
    <w:rsid w:val="004A2B94"/>
    <w:rsid w:val="004B562B"/>
    <w:rsid w:val="004B7C0C"/>
    <w:rsid w:val="004C3898"/>
    <w:rsid w:val="004C437E"/>
    <w:rsid w:val="004C527D"/>
    <w:rsid w:val="004D36B1"/>
    <w:rsid w:val="004D7EBD"/>
    <w:rsid w:val="004E2680"/>
    <w:rsid w:val="004E28F9"/>
    <w:rsid w:val="004E462E"/>
    <w:rsid w:val="004E56DC"/>
    <w:rsid w:val="004E76BA"/>
    <w:rsid w:val="004E76F4"/>
    <w:rsid w:val="004F0B4E"/>
    <w:rsid w:val="004F0B6C"/>
    <w:rsid w:val="004F2078"/>
    <w:rsid w:val="004F4DA3"/>
    <w:rsid w:val="00506557"/>
    <w:rsid w:val="0050677A"/>
    <w:rsid w:val="005108D8"/>
    <w:rsid w:val="005116F9"/>
    <w:rsid w:val="00511AAC"/>
    <w:rsid w:val="005153A7"/>
    <w:rsid w:val="005219CF"/>
    <w:rsid w:val="00527763"/>
    <w:rsid w:val="00532DE0"/>
    <w:rsid w:val="00534B59"/>
    <w:rsid w:val="00536759"/>
    <w:rsid w:val="00537C62"/>
    <w:rsid w:val="005427C0"/>
    <w:rsid w:val="00546970"/>
    <w:rsid w:val="00554E19"/>
    <w:rsid w:val="00560B08"/>
    <w:rsid w:val="0056121F"/>
    <w:rsid w:val="00562C1A"/>
    <w:rsid w:val="00572505"/>
    <w:rsid w:val="00582809"/>
    <w:rsid w:val="0058798C"/>
    <w:rsid w:val="005900FA"/>
    <w:rsid w:val="00592B9F"/>
    <w:rsid w:val="005935A4"/>
    <w:rsid w:val="005948C2"/>
    <w:rsid w:val="00595DCA"/>
    <w:rsid w:val="0059779B"/>
    <w:rsid w:val="005A209A"/>
    <w:rsid w:val="005A487F"/>
    <w:rsid w:val="005A5C6D"/>
    <w:rsid w:val="005A662D"/>
    <w:rsid w:val="005B35D7"/>
    <w:rsid w:val="005B392A"/>
    <w:rsid w:val="005B3AA3"/>
    <w:rsid w:val="005B6F83"/>
    <w:rsid w:val="005C74FB"/>
    <w:rsid w:val="005C7E0F"/>
    <w:rsid w:val="005D023B"/>
    <w:rsid w:val="005D1602"/>
    <w:rsid w:val="005E33B4"/>
    <w:rsid w:val="005E385F"/>
    <w:rsid w:val="005E5B81"/>
    <w:rsid w:val="005F2568"/>
    <w:rsid w:val="005F2CB1"/>
    <w:rsid w:val="005F3025"/>
    <w:rsid w:val="005F618C"/>
    <w:rsid w:val="005F70BD"/>
    <w:rsid w:val="0060283C"/>
    <w:rsid w:val="00604F14"/>
    <w:rsid w:val="00610726"/>
    <w:rsid w:val="0061087B"/>
    <w:rsid w:val="00610D89"/>
    <w:rsid w:val="00611B83"/>
    <w:rsid w:val="00613257"/>
    <w:rsid w:val="00620A71"/>
    <w:rsid w:val="00620D80"/>
    <w:rsid w:val="006234A6"/>
    <w:rsid w:val="00630001"/>
    <w:rsid w:val="00630556"/>
    <w:rsid w:val="006311B3"/>
    <w:rsid w:val="0063284C"/>
    <w:rsid w:val="006350CF"/>
    <w:rsid w:val="00636398"/>
    <w:rsid w:val="006368D3"/>
    <w:rsid w:val="00636925"/>
    <w:rsid w:val="006377EC"/>
    <w:rsid w:val="006405FC"/>
    <w:rsid w:val="0064151F"/>
    <w:rsid w:val="00641533"/>
    <w:rsid w:val="0064208D"/>
    <w:rsid w:val="00643475"/>
    <w:rsid w:val="0064396A"/>
    <w:rsid w:val="00645407"/>
    <w:rsid w:val="0064624E"/>
    <w:rsid w:val="00650AB9"/>
    <w:rsid w:val="006526A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C31"/>
    <w:rsid w:val="00681003"/>
    <w:rsid w:val="006817C9"/>
    <w:rsid w:val="00683ECE"/>
    <w:rsid w:val="00695FC2"/>
    <w:rsid w:val="00696949"/>
    <w:rsid w:val="00697052"/>
    <w:rsid w:val="006A46FB"/>
    <w:rsid w:val="006A5E28"/>
    <w:rsid w:val="006A697B"/>
    <w:rsid w:val="006A7AFF"/>
    <w:rsid w:val="006B1816"/>
    <w:rsid w:val="006B2099"/>
    <w:rsid w:val="006B50CF"/>
    <w:rsid w:val="006B79FC"/>
    <w:rsid w:val="006C03B8"/>
    <w:rsid w:val="006C5EC9"/>
    <w:rsid w:val="006C5EE1"/>
    <w:rsid w:val="006C6059"/>
    <w:rsid w:val="006C7522"/>
    <w:rsid w:val="006D6F08"/>
    <w:rsid w:val="006D7F7C"/>
    <w:rsid w:val="006E062C"/>
    <w:rsid w:val="006E221B"/>
    <w:rsid w:val="006E28B7"/>
    <w:rsid w:val="006E3310"/>
    <w:rsid w:val="006E4E39"/>
    <w:rsid w:val="006E565E"/>
    <w:rsid w:val="006E673D"/>
    <w:rsid w:val="006E7D3B"/>
    <w:rsid w:val="006F1B70"/>
    <w:rsid w:val="006F341D"/>
    <w:rsid w:val="006F3CDE"/>
    <w:rsid w:val="006F4FD4"/>
    <w:rsid w:val="006F58D4"/>
    <w:rsid w:val="006F5DD9"/>
    <w:rsid w:val="00700ADF"/>
    <w:rsid w:val="00702AC5"/>
    <w:rsid w:val="0070346E"/>
    <w:rsid w:val="00704EDB"/>
    <w:rsid w:val="00706101"/>
    <w:rsid w:val="00707072"/>
    <w:rsid w:val="00707D61"/>
    <w:rsid w:val="00712287"/>
    <w:rsid w:val="00712772"/>
    <w:rsid w:val="007148D3"/>
    <w:rsid w:val="00715B9A"/>
    <w:rsid w:val="00720BB1"/>
    <w:rsid w:val="00723A63"/>
    <w:rsid w:val="00726188"/>
    <w:rsid w:val="00726EA6"/>
    <w:rsid w:val="00727208"/>
    <w:rsid w:val="00727680"/>
    <w:rsid w:val="007348B1"/>
    <w:rsid w:val="007362A6"/>
    <w:rsid w:val="0073690A"/>
    <w:rsid w:val="00736D7D"/>
    <w:rsid w:val="00740E58"/>
    <w:rsid w:val="007445A0"/>
    <w:rsid w:val="0074524B"/>
    <w:rsid w:val="00747D8B"/>
    <w:rsid w:val="00751228"/>
    <w:rsid w:val="007571E1"/>
    <w:rsid w:val="007604B2"/>
    <w:rsid w:val="00765281"/>
    <w:rsid w:val="00766BAD"/>
    <w:rsid w:val="007755F2"/>
    <w:rsid w:val="00776971"/>
    <w:rsid w:val="00776C26"/>
    <w:rsid w:val="0078177E"/>
    <w:rsid w:val="0078304C"/>
    <w:rsid w:val="00783673"/>
    <w:rsid w:val="00785490"/>
    <w:rsid w:val="007925EA"/>
    <w:rsid w:val="00793CD8"/>
    <w:rsid w:val="00794F00"/>
    <w:rsid w:val="00795C92"/>
    <w:rsid w:val="00796231"/>
    <w:rsid w:val="00797E8E"/>
    <w:rsid w:val="007A1CB3"/>
    <w:rsid w:val="007A306F"/>
    <w:rsid w:val="007A43A6"/>
    <w:rsid w:val="007A58A6"/>
    <w:rsid w:val="007B3D2D"/>
    <w:rsid w:val="007B50AE"/>
    <w:rsid w:val="007B51DF"/>
    <w:rsid w:val="007B604B"/>
    <w:rsid w:val="007C05DD"/>
    <w:rsid w:val="007C3D18"/>
    <w:rsid w:val="007C60BF"/>
    <w:rsid w:val="007C6A07"/>
    <w:rsid w:val="007C75A1"/>
    <w:rsid w:val="007C77A5"/>
    <w:rsid w:val="007D04E5"/>
    <w:rsid w:val="007D2EC4"/>
    <w:rsid w:val="007D5901"/>
    <w:rsid w:val="007D7526"/>
    <w:rsid w:val="007E1D23"/>
    <w:rsid w:val="007E4610"/>
    <w:rsid w:val="007E4715"/>
    <w:rsid w:val="007E505B"/>
    <w:rsid w:val="007E5F0A"/>
    <w:rsid w:val="007E7091"/>
    <w:rsid w:val="007F5EAB"/>
    <w:rsid w:val="007F631D"/>
    <w:rsid w:val="008019CF"/>
    <w:rsid w:val="00803FAE"/>
    <w:rsid w:val="00804F22"/>
    <w:rsid w:val="0080605F"/>
    <w:rsid w:val="00807786"/>
    <w:rsid w:val="00811FCB"/>
    <w:rsid w:val="008158D6"/>
    <w:rsid w:val="00816BC0"/>
    <w:rsid w:val="00817196"/>
    <w:rsid w:val="008209F4"/>
    <w:rsid w:val="008235DB"/>
    <w:rsid w:val="00823733"/>
    <w:rsid w:val="00824AB4"/>
    <w:rsid w:val="00825C42"/>
    <w:rsid w:val="00825D25"/>
    <w:rsid w:val="00827D6F"/>
    <w:rsid w:val="00830DF2"/>
    <w:rsid w:val="008376AC"/>
    <w:rsid w:val="008414A3"/>
    <w:rsid w:val="008444E8"/>
    <w:rsid w:val="00844E80"/>
    <w:rsid w:val="00846FE7"/>
    <w:rsid w:val="00856911"/>
    <w:rsid w:val="008677FD"/>
    <w:rsid w:val="00867DB6"/>
    <w:rsid w:val="008706D4"/>
    <w:rsid w:val="00870CD9"/>
    <w:rsid w:val="00870F8A"/>
    <w:rsid w:val="008719A4"/>
    <w:rsid w:val="00871D23"/>
    <w:rsid w:val="00874312"/>
    <w:rsid w:val="0087437C"/>
    <w:rsid w:val="00875CD7"/>
    <w:rsid w:val="00876B4D"/>
    <w:rsid w:val="00877F18"/>
    <w:rsid w:val="00894A88"/>
    <w:rsid w:val="00895386"/>
    <w:rsid w:val="0089731A"/>
    <w:rsid w:val="008A21FF"/>
    <w:rsid w:val="008A2CE2"/>
    <w:rsid w:val="008A30AC"/>
    <w:rsid w:val="008A44B8"/>
    <w:rsid w:val="008A51A8"/>
    <w:rsid w:val="008A54C7"/>
    <w:rsid w:val="008A77D8"/>
    <w:rsid w:val="008B0483"/>
    <w:rsid w:val="008B120C"/>
    <w:rsid w:val="008B1719"/>
    <w:rsid w:val="008B1CC4"/>
    <w:rsid w:val="008B51A0"/>
    <w:rsid w:val="008B592A"/>
    <w:rsid w:val="008B7B5C"/>
    <w:rsid w:val="008C0C99"/>
    <w:rsid w:val="008C2017"/>
    <w:rsid w:val="008C4958"/>
    <w:rsid w:val="008C4BAA"/>
    <w:rsid w:val="008C6AE8"/>
    <w:rsid w:val="008C7573"/>
    <w:rsid w:val="008D066F"/>
    <w:rsid w:val="008D1C57"/>
    <w:rsid w:val="008D27D9"/>
    <w:rsid w:val="008D34F1"/>
    <w:rsid w:val="008D39D8"/>
    <w:rsid w:val="008D6D1A"/>
    <w:rsid w:val="008E065E"/>
    <w:rsid w:val="008E0927"/>
    <w:rsid w:val="008E1909"/>
    <w:rsid w:val="008E519C"/>
    <w:rsid w:val="008E62DA"/>
    <w:rsid w:val="008E7BF5"/>
    <w:rsid w:val="008F1EAB"/>
    <w:rsid w:val="008F33DC"/>
    <w:rsid w:val="008F477F"/>
    <w:rsid w:val="00902350"/>
    <w:rsid w:val="0090336B"/>
    <w:rsid w:val="009039F0"/>
    <w:rsid w:val="009053AA"/>
    <w:rsid w:val="00906939"/>
    <w:rsid w:val="00910B7D"/>
    <w:rsid w:val="00911DFB"/>
    <w:rsid w:val="009132F7"/>
    <w:rsid w:val="009139D9"/>
    <w:rsid w:val="00914AD8"/>
    <w:rsid w:val="00916079"/>
    <w:rsid w:val="00917CE9"/>
    <w:rsid w:val="00920BF2"/>
    <w:rsid w:val="00922010"/>
    <w:rsid w:val="00922BCA"/>
    <w:rsid w:val="00931BD9"/>
    <w:rsid w:val="00934054"/>
    <w:rsid w:val="009368F3"/>
    <w:rsid w:val="00941636"/>
    <w:rsid w:val="00943742"/>
    <w:rsid w:val="00943CDD"/>
    <w:rsid w:val="00945C05"/>
    <w:rsid w:val="00946945"/>
    <w:rsid w:val="00947713"/>
    <w:rsid w:val="00950DE7"/>
    <w:rsid w:val="00952646"/>
    <w:rsid w:val="00953920"/>
    <w:rsid w:val="00953D47"/>
    <w:rsid w:val="00954A43"/>
    <w:rsid w:val="0095681E"/>
    <w:rsid w:val="009572D4"/>
    <w:rsid w:val="00961921"/>
    <w:rsid w:val="0096430A"/>
    <w:rsid w:val="0096554B"/>
    <w:rsid w:val="0096584A"/>
    <w:rsid w:val="00965E20"/>
    <w:rsid w:val="00971F08"/>
    <w:rsid w:val="0097603D"/>
    <w:rsid w:val="00976949"/>
    <w:rsid w:val="0097780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0F7E"/>
    <w:rsid w:val="009C1A47"/>
    <w:rsid w:val="009C3FBE"/>
    <w:rsid w:val="009C403E"/>
    <w:rsid w:val="009D4FF0"/>
    <w:rsid w:val="009D703C"/>
    <w:rsid w:val="009D718F"/>
    <w:rsid w:val="009E068F"/>
    <w:rsid w:val="009E14E0"/>
    <w:rsid w:val="009E35DB"/>
    <w:rsid w:val="009E47A3"/>
    <w:rsid w:val="009F08F3"/>
    <w:rsid w:val="009F344F"/>
    <w:rsid w:val="00A031D8"/>
    <w:rsid w:val="00A048A8"/>
    <w:rsid w:val="00A04F49"/>
    <w:rsid w:val="00A06300"/>
    <w:rsid w:val="00A13E54"/>
    <w:rsid w:val="00A17F63"/>
    <w:rsid w:val="00A204B7"/>
    <w:rsid w:val="00A2193B"/>
    <w:rsid w:val="00A22ACE"/>
    <w:rsid w:val="00A2351A"/>
    <w:rsid w:val="00A260F9"/>
    <w:rsid w:val="00A264A9"/>
    <w:rsid w:val="00A27785"/>
    <w:rsid w:val="00A30187"/>
    <w:rsid w:val="00A3202C"/>
    <w:rsid w:val="00A3448A"/>
    <w:rsid w:val="00A36297"/>
    <w:rsid w:val="00A41E2B"/>
    <w:rsid w:val="00A44E4F"/>
    <w:rsid w:val="00A4509E"/>
    <w:rsid w:val="00A45B74"/>
    <w:rsid w:val="00A52E1D"/>
    <w:rsid w:val="00A5498D"/>
    <w:rsid w:val="00A61499"/>
    <w:rsid w:val="00A62A77"/>
    <w:rsid w:val="00A63483"/>
    <w:rsid w:val="00A657D7"/>
    <w:rsid w:val="00A660AC"/>
    <w:rsid w:val="00A67E6C"/>
    <w:rsid w:val="00A71B99"/>
    <w:rsid w:val="00A739D0"/>
    <w:rsid w:val="00A73F61"/>
    <w:rsid w:val="00A761D4"/>
    <w:rsid w:val="00A77EC4"/>
    <w:rsid w:val="00A85976"/>
    <w:rsid w:val="00A92879"/>
    <w:rsid w:val="00A9442A"/>
    <w:rsid w:val="00A963D0"/>
    <w:rsid w:val="00AA016F"/>
    <w:rsid w:val="00AA1ED6"/>
    <w:rsid w:val="00AA51D6"/>
    <w:rsid w:val="00AB0BC8"/>
    <w:rsid w:val="00AB11CA"/>
    <w:rsid w:val="00AB14D9"/>
    <w:rsid w:val="00AB42D1"/>
    <w:rsid w:val="00AB4AB8"/>
    <w:rsid w:val="00AB655E"/>
    <w:rsid w:val="00AC007F"/>
    <w:rsid w:val="00AC1E86"/>
    <w:rsid w:val="00AC2ECD"/>
    <w:rsid w:val="00AC3119"/>
    <w:rsid w:val="00AC49FB"/>
    <w:rsid w:val="00AC4E85"/>
    <w:rsid w:val="00AC5A10"/>
    <w:rsid w:val="00AC6DE9"/>
    <w:rsid w:val="00AD0AA3"/>
    <w:rsid w:val="00AD3F94"/>
    <w:rsid w:val="00AD4A5A"/>
    <w:rsid w:val="00AE27AC"/>
    <w:rsid w:val="00AE40E0"/>
    <w:rsid w:val="00AE4DBA"/>
    <w:rsid w:val="00AE4F07"/>
    <w:rsid w:val="00AF1C5D"/>
    <w:rsid w:val="00AF42D7"/>
    <w:rsid w:val="00AF5C20"/>
    <w:rsid w:val="00B006FE"/>
    <w:rsid w:val="00B007CB"/>
    <w:rsid w:val="00B02AA9"/>
    <w:rsid w:val="00B02FA3"/>
    <w:rsid w:val="00B05084"/>
    <w:rsid w:val="00B1259B"/>
    <w:rsid w:val="00B157F9"/>
    <w:rsid w:val="00B20256"/>
    <w:rsid w:val="00B20D09"/>
    <w:rsid w:val="00B23052"/>
    <w:rsid w:val="00B2763F"/>
    <w:rsid w:val="00B27AAC"/>
    <w:rsid w:val="00B30929"/>
    <w:rsid w:val="00B314A1"/>
    <w:rsid w:val="00B340D6"/>
    <w:rsid w:val="00B34888"/>
    <w:rsid w:val="00B372AA"/>
    <w:rsid w:val="00B37AB4"/>
    <w:rsid w:val="00B40445"/>
    <w:rsid w:val="00B41888"/>
    <w:rsid w:val="00B4257D"/>
    <w:rsid w:val="00B45A52"/>
    <w:rsid w:val="00B46175"/>
    <w:rsid w:val="00B65BBD"/>
    <w:rsid w:val="00B664C7"/>
    <w:rsid w:val="00B7166F"/>
    <w:rsid w:val="00B739F6"/>
    <w:rsid w:val="00B81A6C"/>
    <w:rsid w:val="00B85DE5"/>
    <w:rsid w:val="00B90F73"/>
    <w:rsid w:val="00B93B59"/>
    <w:rsid w:val="00B9406A"/>
    <w:rsid w:val="00BA2280"/>
    <w:rsid w:val="00BA2A08"/>
    <w:rsid w:val="00BA3882"/>
    <w:rsid w:val="00BA56D2"/>
    <w:rsid w:val="00BA76E0"/>
    <w:rsid w:val="00BB2A25"/>
    <w:rsid w:val="00BB51E9"/>
    <w:rsid w:val="00BC0FDC"/>
    <w:rsid w:val="00BC1C1A"/>
    <w:rsid w:val="00BC3053"/>
    <w:rsid w:val="00BC4D2E"/>
    <w:rsid w:val="00BC7A33"/>
    <w:rsid w:val="00BD48AC"/>
    <w:rsid w:val="00BD5F1A"/>
    <w:rsid w:val="00BE1234"/>
    <w:rsid w:val="00BE21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C38"/>
    <w:rsid w:val="00C23035"/>
    <w:rsid w:val="00C279B5"/>
    <w:rsid w:val="00C27C45"/>
    <w:rsid w:val="00C36A83"/>
    <w:rsid w:val="00C3719D"/>
    <w:rsid w:val="00C52CC7"/>
    <w:rsid w:val="00C54995"/>
    <w:rsid w:val="00C54D41"/>
    <w:rsid w:val="00C576C4"/>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340"/>
    <w:rsid w:val="00CB1F63"/>
    <w:rsid w:val="00CB7170"/>
    <w:rsid w:val="00CC040E"/>
    <w:rsid w:val="00CC111F"/>
    <w:rsid w:val="00CC2011"/>
    <w:rsid w:val="00CC3EA0"/>
    <w:rsid w:val="00CC7446"/>
    <w:rsid w:val="00CC7B45"/>
    <w:rsid w:val="00CD1188"/>
    <w:rsid w:val="00CD2ED1"/>
    <w:rsid w:val="00CD337B"/>
    <w:rsid w:val="00CE0424"/>
    <w:rsid w:val="00CE418F"/>
    <w:rsid w:val="00CE7561"/>
    <w:rsid w:val="00CF1354"/>
    <w:rsid w:val="00CF3B1F"/>
    <w:rsid w:val="00CF3BF6"/>
    <w:rsid w:val="00CF625B"/>
    <w:rsid w:val="00CF687E"/>
    <w:rsid w:val="00D0349B"/>
    <w:rsid w:val="00D077AF"/>
    <w:rsid w:val="00D10249"/>
    <w:rsid w:val="00D115C3"/>
    <w:rsid w:val="00D11897"/>
    <w:rsid w:val="00D13135"/>
    <w:rsid w:val="00D13E4E"/>
    <w:rsid w:val="00D239A7"/>
    <w:rsid w:val="00D23F47"/>
    <w:rsid w:val="00D27B04"/>
    <w:rsid w:val="00D36E71"/>
    <w:rsid w:val="00D37D87"/>
    <w:rsid w:val="00D40B33"/>
    <w:rsid w:val="00D4173C"/>
    <w:rsid w:val="00D4318F"/>
    <w:rsid w:val="00D438BF"/>
    <w:rsid w:val="00D440F8"/>
    <w:rsid w:val="00D50ADF"/>
    <w:rsid w:val="00D51BEE"/>
    <w:rsid w:val="00D546FF"/>
    <w:rsid w:val="00D55504"/>
    <w:rsid w:val="00D55AD5"/>
    <w:rsid w:val="00D576CA"/>
    <w:rsid w:val="00D61AF5"/>
    <w:rsid w:val="00D652B5"/>
    <w:rsid w:val="00D66155"/>
    <w:rsid w:val="00D7052F"/>
    <w:rsid w:val="00D708B0"/>
    <w:rsid w:val="00D75356"/>
    <w:rsid w:val="00D77B1D"/>
    <w:rsid w:val="00D8021F"/>
    <w:rsid w:val="00D80383"/>
    <w:rsid w:val="00D8157E"/>
    <w:rsid w:val="00D823C6"/>
    <w:rsid w:val="00D86CA3"/>
    <w:rsid w:val="00D871CE"/>
    <w:rsid w:val="00D9196D"/>
    <w:rsid w:val="00D92982"/>
    <w:rsid w:val="00DA0080"/>
    <w:rsid w:val="00DA305E"/>
    <w:rsid w:val="00DA5417"/>
    <w:rsid w:val="00DA56E8"/>
    <w:rsid w:val="00DA6726"/>
    <w:rsid w:val="00DA753B"/>
    <w:rsid w:val="00DB0A9F"/>
    <w:rsid w:val="00DB377D"/>
    <w:rsid w:val="00DB614F"/>
    <w:rsid w:val="00DC1E1F"/>
    <w:rsid w:val="00DC2D36"/>
    <w:rsid w:val="00DC53EF"/>
    <w:rsid w:val="00DE5608"/>
    <w:rsid w:val="00DE58D0"/>
    <w:rsid w:val="00DE654F"/>
    <w:rsid w:val="00DF0B6E"/>
    <w:rsid w:val="00DF15E0"/>
    <w:rsid w:val="00DF37A0"/>
    <w:rsid w:val="00DF4994"/>
    <w:rsid w:val="00DF74CA"/>
    <w:rsid w:val="00E110E7"/>
    <w:rsid w:val="00E11B20"/>
    <w:rsid w:val="00E13026"/>
    <w:rsid w:val="00E17FA2"/>
    <w:rsid w:val="00E22330"/>
    <w:rsid w:val="00E24BCC"/>
    <w:rsid w:val="00E273A1"/>
    <w:rsid w:val="00E30B5A"/>
    <w:rsid w:val="00E3123D"/>
    <w:rsid w:val="00E31461"/>
    <w:rsid w:val="00E31D0E"/>
    <w:rsid w:val="00E31D43"/>
    <w:rsid w:val="00E32608"/>
    <w:rsid w:val="00E337CA"/>
    <w:rsid w:val="00E34188"/>
    <w:rsid w:val="00E34B6E"/>
    <w:rsid w:val="00E35559"/>
    <w:rsid w:val="00E3723A"/>
    <w:rsid w:val="00E37860"/>
    <w:rsid w:val="00E4321D"/>
    <w:rsid w:val="00E446F1"/>
    <w:rsid w:val="00E46886"/>
    <w:rsid w:val="00E47AEF"/>
    <w:rsid w:val="00E51AC5"/>
    <w:rsid w:val="00E526B7"/>
    <w:rsid w:val="00E52CB2"/>
    <w:rsid w:val="00E53B75"/>
    <w:rsid w:val="00E54E3B"/>
    <w:rsid w:val="00E56B14"/>
    <w:rsid w:val="00E57565"/>
    <w:rsid w:val="00E63838"/>
    <w:rsid w:val="00E64434"/>
    <w:rsid w:val="00E67C51"/>
    <w:rsid w:val="00E72EFC"/>
    <w:rsid w:val="00E758EC"/>
    <w:rsid w:val="00E8067A"/>
    <w:rsid w:val="00E811A9"/>
    <w:rsid w:val="00E8234C"/>
    <w:rsid w:val="00E83AA9"/>
    <w:rsid w:val="00E85928"/>
    <w:rsid w:val="00E87822"/>
    <w:rsid w:val="00E90395"/>
    <w:rsid w:val="00E90E49"/>
    <w:rsid w:val="00E917F9"/>
    <w:rsid w:val="00E9291C"/>
    <w:rsid w:val="00E93FFE"/>
    <w:rsid w:val="00E94F8A"/>
    <w:rsid w:val="00EA5319"/>
    <w:rsid w:val="00EA7A41"/>
    <w:rsid w:val="00EB077B"/>
    <w:rsid w:val="00EB24AB"/>
    <w:rsid w:val="00EB4EA2"/>
    <w:rsid w:val="00EC27C6"/>
    <w:rsid w:val="00EC4207"/>
    <w:rsid w:val="00EC5653"/>
    <w:rsid w:val="00EC71CE"/>
    <w:rsid w:val="00ED0EF9"/>
    <w:rsid w:val="00ED1006"/>
    <w:rsid w:val="00ED2CCD"/>
    <w:rsid w:val="00ED4080"/>
    <w:rsid w:val="00ED5CC8"/>
    <w:rsid w:val="00EE1007"/>
    <w:rsid w:val="00EE1D2F"/>
    <w:rsid w:val="00EE2C67"/>
    <w:rsid w:val="00EE5C1C"/>
    <w:rsid w:val="00EF18FE"/>
    <w:rsid w:val="00EF5787"/>
    <w:rsid w:val="00EF60D0"/>
    <w:rsid w:val="00EF62CF"/>
    <w:rsid w:val="00F0356B"/>
    <w:rsid w:val="00F0528D"/>
    <w:rsid w:val="00F06C67"/>
    <w:rsid w:val="00F06DFD"/>
    <w:rsid w:val="00F071D1"/>
    <w:rsid w:val="00F07533"/>
    <w:rsid w:val="00F10629"/>
    <w:rsid w:val="00F15FA5"/>
    <w:rsid w:val="00F209B7"/>
    <w:rsid w:val="00F21C2A"/>
    <w:rsid w:val="00F2376F"/>
    <w:rsid w:val="00F243D8"/>
    <w:rsid w:val="00F30828"/>
    <w:rsid w:val="00F313D6"/>
    <w:rsid w:val="00F31958"/>
    <w:rsid w:val="00F403B7"/>
    <w:rsid w:val="00F40F0C"/>
    <w:rsid w:val="00F4611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B62"/>
    <w:rsid w:val="00F76EFA"/>
    <w:rsid w:val="00F804BE"/>
    <w:rsid w:val="00F817CE"/>
    <w:rsid w:val="00F8456C"/>
    <w:rsid w:val="00F859D8"/>
    <w:rsid w:val="00F85EA4"/>
    <w:rsid w:val="00F868F5"/>
    <w:rsid w:val="00F879D2"/>
    <w:rsid w:val="00F9056A"/>
    <w:rsid w:val="00F90F8D"/>
    <w:rsid w:val="00F92782"/>
    <w:rsid w:val="00F932F8"/>
    <w:rsid w:val="00F93AA9"/>
    <w:rsid w:val="00F96985"/>
    <w:rsid w:val="00F97838"/>
    <w:rsid w:val="00FA2BB3"/>
    <w:rsid w:val="00FA3AC4"/>
    <w:rsid w:val="00FB23ED"/>
    <w:rsid w:val="00FB4C80"/>
    <w:rsid w:val="00FB572B"/>
    <w:rsid w:val="00FB6A6A"/>
    <w:rsid w:val="00FB79B9"/>
    <w:rsid w:val="00FC7429"/>
    <w:rsid w:val="00FD07F6"/>
    <w:rsid w:val="00FD1EC8"/>
    <w:rsid w:val="00FD4317"/>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01D12"/>
  <w15:docId w15:val="{765E839C-F841-4580-982F-1C97FD099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9731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9731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9731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9731A"/>
    <w:pPr>
      <w:numPr>
        <w:ilvl w:val="2"/>
      </w:numPr>
      <w:spacing w:before="120"/>
      <w:outlineLvl w:val="2"/>
    </w:pPr>
    <w:rPr>
      <w:sz w:val="28"/>
      <w:szCs w:val="28"/>
    </w:rPr>
  </w:style>
  <w:style w:type="paragraph" w:styleId="Heading4">
    <w:name w:val="heading 4"/>
    <w:basedOn w:val="Heading3"/>
    <w:next w:val="Normal"/>
    <w:qFormat/>
    <w:rsid w:val="0089731A"/>
    <w:pPr>
      <w:numPr>
        <w:ilvl w:val="3"/>
      </w:numPr>
      <w:outlineLvl w:val="3"/>
    </w:pPr>
    <w:rPr>
      <w:sz w:val="24"/>
      <w:szCs w:val="24"/>
    </w:rPr>
  </w:style>
  <w:style w:type="paragraph" w:styleId="Heading5">
    <w:name w:val="heading 5"/>
    <w:basedOn w:val="Heading4"/>
    <w:next w:val="Normal"/>
    <w:qFormat/>
    <w:rsid w:val="0089731A"/>
    <w:pPr>
      <w:numPr>
        <w:ilvl w:val="4"/>
      </w:numPr>
      <w:outlineLvl w:val="4"/>
    </w:pPr>
    <w:rPr>
      <w:sz w:val="22"/>
      <w:szCs w:val="22"/>
    </w:rPr>
  </w:style>
  <w:style w:type="paragraph" w:styleId="Heading6">
    <w:name w:val="heading 6"/>
    <w:basedOn w:val="Normal"/>
    <w:next w:val="Normal"/>
    <w:qFormat/>
    <w:rsid w:val="0089731A"/>
    <w:pPr>
      <w:keepNext/>
      <w:keepLines/>
      <w:numPr>
        <w:ilvl w:val="5"/>
        <w:numId w:val="1"/>
      </w:numPr>
      <w:spacing w:before="120"/>
      <w:outlineLvl w:val="5"/>
    </w:pPr>
    <w:rPr>
      <w:rFonts w:cs="Arial"/>
    </w:rPr>
  </w:style>
  <w:style w:type="paragraph" w:styleId="Heading7">
    <w:name w:val="heading 7"/>
    <w:basedOn w:val="Normal"/>
    <w:next w:val="Normal"/>
    <w:qFormat/>
    <w:rsid w:val="0089731A"/>
    <w:pPr>
      <w:keepNext/>
      <w:keepLines/>
      <w:numPr>
        <w:ilvl w:val="6"/>
        <w:numId w:val="1"/>
      </w:numPr>
      <w:spacing w:before="120"/>
      <w:outlineLvl w:val="6"/>
    </w:pPr>
    <w:rPr>
      <w:rFonts w:cs="Arial"/>
    </w:rPr>
  </w:style>
  <w:style w:type="paragraph" w:styleId="Heading8">
    <w:name w:val="heading 8"/>
    <w:basedOn w:val="Heading7"/>
    <w:next w:val="Normal"/>
    <w:qFormat/>
    <w:rsid w:val="0089731A"/>
    <w:pPr>
      <w:numPr>
        <w:ilvl w:val="7"/>
      </w:numPr>
      <w:outlineLvl w:val="7"/>
    </w:pPr>
  </w:style>
  <w:style w:type="paragraph" w:styleId="Heading9">
    <w:name w:val="heading 9"/>
    <w:basedOn w:val="Heading8"/>
    <w:next w:val="Normal"/>
    <w:qFormat/>
    <w:rsid w:val="0089731A"/>
    <w:pPr>
      <w:numPr>
        <w:ilvl w:val="8"/>
      </w:numPr>
      <w:outlineLvl w:val="8"/>
    </w:pPr>
  </w:style>
  <w:style w:type="character" w:default="1" w:styleId="DefaultParagraphFont">
    <w:name w:val="Default Paragraph Font"/>
    <w:semiHidden/>
    <w:rsid w:val="008973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89731A"/>
  </w:style>
  <w:style w:type="paragraph" w:styleId="TOC8">
    <w:name w:val="toc 8"/>
    <w:basedOn w:val="TOC1"/>
    <w:semiHidden/>
    <w:rsid w:val="0089731A"/>
    <w:pPr>
      <w:spacing w:before="180"/>
      <w:ind w:left="2693" w:hanging="2693"/>
    </w:pPr>
    <w:rPr>
      <w:b w:val="0"/>
      <w:bCs/>
    </w:rPr>
  </w:style>
  <w:style w:type="paragraph" w:styleId="TOC1">
    <w:name w:val="toc 1"/>
    <w:aliases w:val="Observation TOC2"/>
    <w:uiPriority w:val="39"/>
    <w:rsid w:val="0089731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9731A"/>
    <w:pPr>
      <w:keepNext/>
      <w:keepLines/>
      <w:spacing w:before="180"/>
      <w:jc w:val="center"/>
    </w:pPr>
  </w:style>
  <w:style w:type="paragraph" w:styleId="Caption">
    <w:name w:val="caption"/>
    <w:basedOn w:val="Normal"/>
    <w:next w:val="Normal"/>
    <w:qFormat/>
    <w:rsid w:val="0089731A"/>
    <w:pPr>
      <w:spacing w:after="240"/>
      <w:jc w:val="center"/>
    </w:pPr>
    <w:rPr>
      <w:b/>
      <w:bCs/>
    </w:rPr>
  </w:style>
  <w:style w:type="paragraph" w:styleId="TOC5">
    <w:name w:val="toc 5"/>
    <w:aliases w:val="Observation TOC"/>
    <w:basedOn w:val="TOC4"/>
    <w:semiHidden/>
    <w:rsid w:val="0089731A"/>
    <w:pPr>
      <w:tabs>
        <w:tab w:val="right" w:pos="1701"/>
      </w:tabs>
      <w:ind w:left="1701" w:hanging="1701"/>
    </w:pPr>
  </w:style>
  <w:style w:type="paragraph" w:styleId="TOC4">
    <w:name w:val="toc 4"/>
    <w:basedOn w:val="TOC3"/>
    <w:semiHidden/>
    <w:rsid w:val="0089731A"/>
    <w:pPr>
      <w:ind w:left="1418" w:hanging="1418"/>
    </w:pPr>
  </w:style>
  <w:style w:type="paragraph" w:styleId="TOC3">
    <w:name w:val="toc 3"/>
    <w:basedOn w:val="TOC2"/>
    <w:semiHidden/>
    <w:rsid w:val="0089731A"/>
    <w:pPr>
      <w:ind w:left="1134" w:hanging="1134"/>
    </w:pPr>
  </w:style>
  <w:style w:type="paragraph" w:styleId="TOC2">
    <w:name w:val="toc 2"/>
    <w:basedOn w:val="TOC1"/>
    <w:semiHidden/>
    <w:rsid w:val="0089731A"/>
    <w:pPr>
      <w:keepNext w:val="0"/>
      <w:spacing w:before="0"/>
      <w:ind w:left="851" w:hanging="851"/>
    </w:pPr>
    <w:rPr>
      <w:szCs w:val="20"/>
    </w:rPr>
  </w:style>
  <w:style w:type="paragraph" w:styleId="Index2">
    <w:name w:val="index 2"/>
    <w:basedOn w:val="Index1"/>
    <w:semiHidden/>
    <w:rsid w:val="0089731A"/>
    <w:pPr>
      <w:ind w:left="284"/>
    </w:pPr>
  </w:style>
  <w:style w:type="paragraph" w:styleId="Index1">
    <w:name w:val="index 1"/>
    <w:basedOn w:val="Normal"/>
    <w:semiHidden/>
    <w:rsid w:val="0089731A"/>
    <w:pPr>
      <w:keepLines/>
      <w:spacing w:after="0"/>
    </w:pPr>
  </w:style>
  <w:style w:type="paragraph" w:styleId="DocumentMap">
    <w:name w:val="Document Map"/>
    <w:basedOn w:val="Normal"/>
    <w:semiHidden/>
    <w:rsid w:val="0089731A"/>
    <w:pPr>
      <w:shd w:val="clear" w:color="auto" w:fill="000080"/>
    </w:pPr>
    <w:rPr>
      <w:rFonts w:ascii="Tahoma" w:hAnsi="Tahoma" w:cs="Tahoma"/>
    </w:rPr>
  </w:style>
  <w:style w:type="paragraph" w:styleId="ListNumber2">
    <w:name w:val="List Number 2"/>
    <w:basedOn w:val="ListNumber"/>
    <w:rsid w:val="0089731A"/>
    <w:pPr>
      <w:ind w:left="851"/>
    </w:pPr>
  </w:style>
  <w:style w:type="paragraph" w:styleId="ListNumber">
    <w:name w:val="List Number"/>
    <w:basedOn w:val="List"/>
    <w:rsid w:val="0089731A"/>
  </w:style>
  <w:style w:type="paragraph" w:styleId="List">
    <w:name w:val="List"/>
    <w:basedOn w:val="Normal"/>
    <w:rsid w:val="0089731A"/>
    <w:pPr>
      <w:ind w:left="568" w:hanging="284"/>
    </w:pPr>
  </w:style>
  <w:style w:type="paragraph" w:styleId="Header">
    <w:name w:val="header"/>
    <w:rsid w:val="0089731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9731A"/>
    <w:rPr>
      <w:b/>
      <w:bCs/>
      <w:position w:val="6"/>
      <w:sz w:val="16"/>
      <w:szCs w:val="16"/>
    </w:rPr>
  </w:style>
  <w:style w:type="paragraph" w:styleId="FootnoteText">
    <w:name w:val="footnote text"/>
    <w:basedOn w:val="Normal"/>
    <w:semiHidden/>
    <w:rsid w:val="0089731A"/>
    <w:pPr>
      <w:keepLines/>
      <w:spacing w:after="0"/>
      <w:ind w:left="454" w:hanging="454"/>
    </w:pPr>
    <w:rPr>
      <w:sz w:val="16"/>
      <w:szCs w:val="16"/>
    </w:rPr>
  </w:style>
  <w:style w:type="paragraph" w:customStyle="1" w:styleId="3GPPHeader">
    <w:name w:val="3GPP_Header"/>
    <w:basedOn w:val="Normal"/>
    <w:rsid w:val="0089731A"/>
    <w:pPr>
      <w:tabs>
        <w:tab w:val="left" w:pos="1701"/>
        <w:tab w:val="right" w:pos="9639"/>
      </w:tabs>
      <w:spacing w:after="240"/>
    </w:pPr>
    <w:rPr>
      <w:b/>
      <w:sz w:val="24"/>
    </w:rPr>
  </w:style>
  <w:style w:type="paragraph" w:styleId="TOC9">
    <w:name w:val="toc 9"/>
    <w:basedOn w:val="TOC8"/>
    <w:semiHidden/>
    <w:rsid w:val="0089731A"/>
    <w:pPr>
      <w:ind w:left="1418" w:hanging="1418"/>
    </w:pPr>
  </w:style>
  <w:style w:type="paragraph" w:styleId="TOC6">
    <w:name w:val="toc 6"/>
    <w:basedOn w:val="TOC5"/>
    <w:next w:val="Normal"/>
    <w:semiHidden/>
    <w:rsid w:val="0089731A"/>
    <w:pPr>
      <w:ind w:left="1985" w:hanging="1985"/>
    </w:pPr>
  </w:style>
  <w:style w:type="paragraph" w:styleId="TOC7">
    <w:name w:val="toc 7"/>
    <w:basedOn w:val="TOC6"/>
    <w:next w:val="Normal"/>
    <w:semiHidden/>
    <w:rsid w:val="0089731A"/>
    <w:pPr>
      <w:ind w:left="2268" w:hanging="2268"/>
    </w:pPr>
  </w:style>
  <w:style w:type="paragraph" w:styleId="ListBullet2">
    <w:name w:val="List Bullet 2"/>
    <w:basedOn w:val="ListBullet"/>
    <w:rsid w:val="0089731A"/>
    <w:pPr>
      <w:numPr>
        <w:numId w:val="6"/>
      </w:numPr>
    </w:pPr>
  </w:style>
  <w:style w:type="paragraph" w:styleId="ListBullet">
    <w:name w:val="List Bullet"/>
    <w:basedOn w:val="BodyText"/>
    <w:rsid w:val="0089731A"/>
    <w:pPr>
      <w:numPr>
        <w:numId w:val="5"/>
      </w:numPr>
    </w:pPr>
  </w:style>
  <w:style w:type="paragraph" w:styleId="ListBullet3">
    <w:name w:val="List Bullet 3"/>
    <w:basedOn w:val="ListBullet2"/>
    <w:rsid w:val="0089731A"/>
    <w:pPr>
      <w:numPr>
        <w:numId w:val="7"/>
      </w:numPr>
    </w:pPr>
  </w:style>
  <w:style w:type="paragraph" w:customStyle="1" w:styleId="EQ">
    <w:name w:val="EQ"/>
    <w:basedOn w:val="Normal"/>
    <w:next w:val="Normal"/>
    <w:rsid w:val="0089731A"/>
    <w:pPr>
      <w:keepLines/>
      <w:tabs>
        <w:tab w:val="center" w:pos="4536"/>
        <w:tab w:val="right" w:pos="9072"/>
      </w:tabs>
      <w:spacing w:after="180"/>
      <w:jc w:val="left"/>
    </w:pPr>
    <w:rPr>
      <w:noProof/>
      <w:lang w:eastAsia="en-US"/>
    </w:rPr>
  </w:style>
  <w:style w:type="paragraph" w:styleId="List2">
    <w:name w:val="List 2"/>
    <w:basedOn w:val="List"/>
    <w:rsid w:val="0089731A"/>
    <w:pPr>
      <w:ind w:left="851"/>
    </w:pPr>
  </w:style>
  <w:style w:type="paragraph" w:styleId="List3">
    <w:name w:val="List 3"/>
    <w:basedOn w:val="List2"/>
    <w:rsid w:val="0089731A"/>
    <w:pPr>
      <w:ind w:left="1135"/>
    </w:pPr>
  </w:style>
  <w:style w:type="paragraph" w:styleId="List4">
    <w:name w:val="List 4"/>
    <w:basedOn w:val="List3"/>
    <w:rsid w:val="0089731A"/>
    <w:pPr>
      <w:ind w:left="1418"/>
    </w:pPr>
  </w:style>
  <w:style w:type="paragraph" w:styleId="List5">
    <w:name w:val="List 5"/>
    <w:basedOn w:val="List4"/>
    <w:rsid w:val="0089731A"/>
    <w:pPr>
      <w:ind w:left="1702"/>
    </w:pPr>
  </w:style>
  <w:style w:type="paragraph" w:customStyle="1" w:styleId="EditorsNote">
    <w:name w:val="Editor's Note"/>
    <w:basedOn w:val="Normal"/>
    <w:rsid w:val="0089731A"/>
    <w:pPr>
      <w:keepLines/>
      <w:spacing w:after="180"/>
      <w:ind w:left="1135" w:hanging="851"/>
      <w:jc w:val="left"/>
    </w:pPr>
    <w:rPr>
      <w:color w:val="FF0000"/>
      <w:lang w:eastAsia="en-US"/>
    </w:rPr>
  </w:style>
  <w:style w:type="paragraph" w:styleId="ListBullet4">
    <w:name w:val="List Bullet 4"/>
    <w:basedOn w:val="ListBullet3"/>
    <w:rsid w:val="0089731A"/>
    <w:pPr>
      <w:numPr>
        <w:numId w:val="8"/>
      </w:numPr>
    </w:pPr>
  </w:style>
  <w:style w:type="paragraph" w:styleId="ListBullet5">
    <w:name w:val="List Bullet 5"/>
    <w:basedOn w:val="ListBullet4"/>
    <w:rsid w:val="0089731A"/>
    <w:pPr>
      <w:numPr>
        <w:numId w:val="4"/>
      </w:numPr>
    </w:pPr>
  </w:style>
  <w:style w:type="paragraph" w:styleId="Footer">
    <w:name w:val="footer"/>
    <w:basedOn w:val="Header"/>
    <w:semiHidden/>
    <w:rsid w:val="0089731A"/>
    <w:pPr>
      <w:jc w:val="center"/>
    </w:pPr>
    <w:rPr>
      <w:i/>
      <w:iCs/>
    </w:rPr>
  </w:style>
  <w:style w:type="paragraph" w:customStyle="1" w:styleId="Reference">
    <w:name w:val="Reference"/>
    <w:basedOn w:val="Normal"/>
    <w:rsid w:val="0089731A"/>
    <w:pPr>
      <w:numPr>
        <w:numId w:val="2"/>
      </w:numPr>
    </w:pPr>
  </w:style>
  <w:style w:type="paragraph" w:styleId="BalloonText">
    <w:name w:val="Balloon Text"/>
    <w:basedOn w:val="Normal"/>
    <w:semiHidden/>
    <w:rsid w:val="0089731A"/>
    <w:rPr>
      <w:rFonts w:ascii="Tahoma" w:hAnsi="Tahoma" w:cs="Tahoma"/>
      <w:sz w:val="16"/>
      <w:szCs w:val="16"/>
    </w:rPr>
  </w:style>
  <w:style w:type="character" w:styleId="PageNumber">
    <w:name w:val="page number"/>
    <w:basedOn w:val="DefaultParagraphFont"/>
    <w:semiHidden/>
    <w:rsid w:val="0089731A"/>
  </w:style>
  <w:style w:type="paragraph" w:styleId="BodyText">
    <w:name w:val="Body Text"/>
    <w:basedOn w:val="Normal"/>
    <w:link w:val="BodyTextChar"/>
    <w:rsid w:val="0089731A"/>
  </w:style>
  <w:style w:type="character" w:styleId="Hyperlink">
    <w:name w:val="Hyperlink"/>
    <w:uiPriority w:val="99"/>
    <w:rsid w:val="0089731A"/>
    <w:rPr>
      <w:color w:val="0000FF"/>
      <w:u w:val="single"/>
      <w:lang w:val="en-GB"/>
    </w:rPr>
  </w:style>
  <w:style w:type="character" w:styleId="FollowedHyperlink">
    <w:name w:val="FollowedHyperlink"/>
    <w:semiHidden/>
    <w:rsid w:val="0089731A"/>
    <w:rPr>
      <w:color w:val="FF0000"/>
      <w:u w:val="single"/>
    </w:rPr>
  </w:style>
  <w:style w:type="character" w:styleId="CommentReference">
    <w:name w:val="annotation reference"/>
    <w:semiHidden/>
    <w:rsid w:val="0089731A"/>
    <w:rPr>
      <w:sz w:val="16"/>
      <w:szCs w:val="16"/>
    </w:rPr>
  </w:style>
  <w:style w:type="paragraph" w:styleId="CommentText">
    <w:name w:val="annotation text"/>
    <w:basedOn w:val="Normal"/>
    <w:semiHidden/>
    <w:rsid w:val="0089731A"/>
  </w:style>
  <w:style w:type="paragraph" w:styleId="CommentSubject">
    <w:name w:val="annotation subject"/>
    <w:basedOn w:val="CommentText"/>
    <w:next w:val="CommentText"/>
    <w:semiHidden/>
    <w:rsid w:val="0089731A"/>
    <w:rPr>
      <w:b/>
      <w:bCs/>
    </w:rPr>
  </w:style>
  <w:style w:type="character" w:customStyle="1" w:styleId="Heading1Char">
    <w:name w:val="Heading 1 Char"/>
    <w:link w:val="Heading1"/>
    <w:rsid w:val="0089731A"/>
    <w:rPr>
      <w:rFonts w:ascii="Arial" w:hAnsi="Arial" w:cs="Arial"/>
      <w:sz w:val="36"/>
      <w:szCs w:val="36"/>
      <w:lang w:val="en-GB" w:eastAsia="zh-CN"/>
    </w:rPr>
  </w:style>
  <w:style w:type="paragraph" w:customStyle="1" w:styleId="B1">
    <w:name w:val="B1"/>
    <w:basedOn w:val="List"/>
    <w:rsid w:val="0089731A"/>
    <w:pPr>
      <w:spacing w:after="180"/>
      <w:jc w:val="left"/>
    </w:pPr>
    <w:rPr>
      <w:lang w:eastAsia="en-US"/>
    </w:rPr>
  </w:style>
  <w:style w:type="paragraph" w:customStyle="1" w:styleId="B2">
    <w:name w:val="B2"/>
    <w:basedOn w:val="List2"/>
    <w:rsid w:val="0089731A"/>
    <w:pPr>
      <w:spacing w:after="180"/>
      <w:jc w:val="left"/>
    </w:pPr>
    <w:rPr>
      <w:lang w:eastAsia="en-US"/>
    </w:rPr>
  </w:style>
  <w:style w:type="paragraph" w:customStyle="1" w:styleId="B3">
    <w:name w:val="B3"/>
    <w:basedOn w:val="List3"/>
    <w:rsid w:val="0089731A"/>
    <w:pPr>
      <w:spacing w:after="180"/>
      <w:jc w:val="left"/>
    </w:pPr>
    <w:rPr>
      <w:lang w:eastAsia="en-US"/>
    </w:rPr>
  </w:style>
  <w:style w:type="paragraph" w:customStyle="1" w:styleId="B4">
    <w:name w:val="B4"/>
    <w:basedOn w:val="List4"/>
    <w:rsid w:val="0089731A"/>
    <w:pPr>
      <w:spacing w:after="180"/>
      <w:jc w:val="left"/>
    </w:pPr>
    <w:rPr>
      <w:lang w:eastAsia="en-US"/>
    </w:rPr>
  </w:style>
  <w:style w:type="paragraph" w:customStyle="1" w:styleId="Proposal">
    <w:name w:val="Proposal"/>
    <w:basedOn w:val="Normal"/>
    <w:rsid w:val="0089731A"/>
    <w:pPr>
      <w:numPr>
        <w:numId w:val="3"/>
      </w:numPr>
      <w:tabs>
        <w:tab w:val="clear" w:pos="1304"/>
        <w:tab w:val="left" w:pos="1701"/>
      </w:tabs>
      <w:ind w:left="1701" w:hanging="1701"/>
    </w:pPr>
    <w:rPr>
      <w:b/>
      <w:bCs/>
    </w:rPr>
  </w:style>
  <w:style w:type="character" w:customStyle="1" w:styleId="BodyTextChar">
    <w:name w:val="Body Text Char"/>
    <w:link w:val="BodyText"/>
    <w:rsid w:val="0089731A"/>
    <w:rPr>
      <w:rFonts w:ascii="Arial" w:hAnsi="Arial"/>
      <w:lang w:val="en-GB" w:eastAsia="zh-CN"/>
    </w:rPr>
  </w:style>
  <w:style w:type="paragraph" w:customStyle="1" w:styleId="B5">
    <w:name w:val="B5"/>
    <w:basedOn w:val="List5"/>
    <w:rsid w:val="0089731A"/>
    <w:pPr>
      <w:spacing w:after="180"/>
      <w:jc w:val="left"/>
    </w:pPr>
    <w:rPr>
      <w:lang w:eastAsia="en-US"/>
    </w:rPr>
  </w:style>
  <w:style w:type="paragraph" w:customStyle="1" w:styleId="EX">
    <w:name w:val="EX"/>
    <w:basedOn w:val="Normal"/>
    <w:rsid w:val="0089731A"/>
    <w:pPr>
      <w:keepLines/>
      <w:spacing w:after="180"/>
      <w:ind w:left="1702" w:hanging="1418"/>
      <w:jc w:val="left"/>
    </w:pPr>
    <w:rPr>
      <w:lang w:eastAsia="en-US"/>
    </w:rPr>
  </w:style>
  <w:style w:type="paragraph" w:customStyle="1" w:styleId="EW">
    <w:name w:val="EW"/>
    <w:basedOn w:val="EX"/>
    <w:rsid w:val="0089731A"/>
    <w:pPr>
      <w:spacing w:after="0"/>
    </w:pPr>
  </w:style>
  <w:style w:type="paragraph" w:customStyle="1" w:styleId="TAL">
    <w:name w:val="TAL"/>
    <w:basedOn w:val="Normal"/>
    <w:rsid w:val="0089731A"/>
    <w:pPr>
      <w:keepNext/>
      <w:keepLines/>
      <w:spacing w:after="0"/>
      <w:jc w:val="left"/>
    </w:pPr>
    <w:rPr>
      <w:sz w:val="18"/>
      <w:lang w:eastAsia="en-US"/>
    </w:rPr>
  </w:style>
  <w:style w:type="paragraph" w:customStyle="1" w:styleId="TAC">
    <w:name w:val="TAC"/>
    <w:basedOn w:val="TAL"/>
    <w:rsid w:val="0089731A"/>
    <w:pPr>
      <w:jc w:val="center"/>
    </w:pPr>
  </w:style>
  <w:style w:type="paragraph" w:customStyle="1" w:styleId="TAH">
    <w:name w:val="TAH"/>
    <w:basedOn w:val="TAC"/>
    <w:rsid w:val="0089731A"/>
    <w:rPr>
      <w:b/>
    </w:rPr>
  </w:style>
  <w:style w:type="paragraph" w:customStyle="1" w:styleId="TAN">
    <w:name w:val="TAN"/>
    <w:basedOn w:val="TAL"/>
    <w:rsid w:val="0089731A"/>
    <w:pPr>
      <w:ind w:left="851" w:hanging="851"/>
    </w:pPr>
  </w:style>
  <w:style w:type="paragraph" w:customStyle="1" w:styleId="TAR">
    <w:name w:val="TAR"/>
    <w:basedOn w:val="TAL"/>
    <w:rsid w:val="0089731A"/>
    <w:pPr>
      <w:jc w:val="right"/>
    </w:pPr>
  </w:style>
  <w:style w:type="paragraph" w:customStyle="1" w:styleId="TH">
    <w:name w:val="TH"/>
    <w:basedOn w:val="Normal"/>
    <w:rsid w:val="0089731A"/>
    <w:pPr>
      <w:keepNext/>
      <w:keepLines/>
      <w:spacing w:before="60" w:after="180"/>
      <w:jc w:val="center"/>
    </w:pPr>
    <w:rPr>
      <w:b/>
      <w:lang w:eastAsia="en-US"/>
    </w:rPr>
  </w:style>
  <w:style w:type="paragraph" w:customStyle="1" w:styleId="TF">
    <w:name w:val="TF"/>
    <w:basedOn w:val="TH"/>
    <w:rsid w:val="0089731A"/>
    <w:pPr>
      <w:keepNext w:val="0"/>
      <w:spacing w:before="0" w:after="240"/>
    </w:pPr>
  </w:style>
  <w:style w:type="paragraph" w:customStyle="1" w:styleId="TT">
    <w:name w:val="TT"/>
    <w:basedOn w:val="Heading1"/>
    <w:next w:val="Normal"/>
    <w:rsid w:val="0089731A"/>
    <w:pPr>
      <w:numPr>
        <w:numId w:val="0"/>
      </w:numPr>
      <w:ind w:left="1134" w:hanging="1134"/>
      <w:outlineLvl w:val="9"/>
    </w:pPr>
    <w:rPr>
      <w:rFonts w:cs="Times New Roman"/>
      <w:szCs w:val="20"/>
      <w:lang w:eastAsia="en-US"/>
    </w:rPr>
  </w:style>
  <w:style w:type="paragraph" w:customStyle="1" w:styleId="ZA">
    <w:name w:val="ZA"/>
    <w:rsid w:val="008973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73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73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973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9731A"/>
  </w:style>
  <w:style w:type="paragraph" w:customStyle="1" w:styleId="ZH">
    <w:name w:val="ZH"/>
    <w:rsid w:val="008973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973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9731A"/>
    <w:pPr>
      <w:framePr w:hRule="auto" w:wrap="notBeside" w:y="852"/>
    </w:pPr>
    <w:rPr>
      <w:i w:val="0"/>
      <w:sz w:val="40"/>
    </w:rPr>
  </w:style>
  <w:style w:type="paragraph" w:customStyle="1" w:styleId="ZU">
    <w:name w:val="ZU"/>
    <w:rsid w:val="008973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731A"/>
    <w:pPr>
      <w:framePr w:wrap="notBeside" w:y="16161"/>
    </w:pPr>
  </w:style>
  <w:style w:type="paragraph" w:customStyle="1" w:styleId="FP">
    <w:name w:val="FP"/>
    <w:basedOn w:val="Normal"/>
    <w:rsid w:val="0089731A"/>
    <w:pPr>
      <w:spacing w:after="0"/>
      <w:jc w:val="left"/>
    </w:pPr>
    <w:rPr>
      <w:lang w:eastAsia="en-US"/>
    </w:rPr>
  </w:style>
  <w:style w:type="paragraph" w:customStyle="1" w:styleId="Observation">
    <w:name w:val="Observation"/>
    <w:basedOn w:val="Proposal"/>
    <w:qFormat/>
    <w:rsid w:val="0089731A"/>
    <w:pPr>
      <w:numPr>
        <w:numId w:val="13"/>
      </w:numPr>
      <w:ind w:left="1701" w:hanging="1701"/>
    </w:pPr>
  </w:style>
  <w:style w:type="paragraph" w:styleId="TableofFigures">
    <w:name w:val="table of figures"/>
    <w:basedOn w:val="Normal"/>
    <w:next w:val="Normal"/>
    <w:uiPriority w:val="99"/>
    <w:rsid w:val="0089731A"/>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table" w:styleId="TableGrid">
    <w:name w:val="Table Grid"/>
    <w:basedOn w:val="TableNormal"/>
    <w:rsid w:val="00AC1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24BC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www.3gpp.org/dynareport/36889.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portal.3gpp.org/desktopmodules/Specifications/SpecificationDetails.aspx?specificationId=307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SAQRZK7RPU5V-1-490</_dlc_DocId>
    <_dlc_DocIdUrl xmlns="08b2df90-05d3-4030-90d4-c9feeb4a1cd9">
      <Url>https://ericoll.internal.ericsson.com/sites/NSA/_layouts/DocIdRedir.aspx?ID=SAQRZK7RPU5V-1-490</Url>
      <Description>SAQRZK7RPU5V-1-490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F8C2E-9868-4155-964B-72217FA8982A}">
  <ds:schemaRefs>
    <ds:schemaRef ds:uri="Microsoft.SharePoint.Taxonomy.ContentTypeSync"/>
  </ds:schemaRefs>
</ds:datastoreItem>
</file>

<file path=customXml/itemProps2.xml><?xml version="1.0" encoding="utf-8"?>
<ds:datastoreItem xmlns:ds="http://schemas.openxmlformats.org/officeDocument/2006/customXml" ds:itemID="{D3D5BEA2-5D9C-4D91-A9E0-FD65D81AD1CC}">
  <ds:schemaRefs>
    <ds:schemaRef ds:uri="http://schemas.microsoft.com/sharepoint/events"/>
  </ds:schemaRefs>
</ds:datastoreItem>
</file>

<file path=customXml/itemProps3.xml><?xml version="1.0" encoding="utf-8"?>
<ds:datastoreItem xmlns:ds="http://schemas.openxmlformats.org/officeDocument/2006/customXml" ds:itemID="{E778F8FE-F7DC-4679-92B8-665AEDEB8A19}">
  <ds:schemaRefs>
    <ds:schemaRef ds:uri="http://schemas.microsoft.com/sharepoint/v3/contenttype/forms"/>
  </ds:schemaRefs>
</ds:datastoreItem>
</file>

<file path=customXml/itemProps4.xml><?xml version="1.0" encoding="utf-8"?>
<ds:datastoreItem xmlns:ds="http://schemas.openxmlformats.org/officeDocument/2006/customXml" ds:itemID="{023C40F1-7C3B-426F-91A9-6059D120AEE1}">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52AB1A50-6329-4068-BE8C-A36D70AB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3F0F80-8EF5-498C-A6B3-A1527C4DD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2963</TotalTime>
  <Pages>5</Pages>
  <Words>2431</Words>
  <Characters>12889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dc:creator>
  <cp:keywords>3GPP; Ericsson; TDoc</cp:keywords>
  <cp:lastModifiedBy>Mattias</cp:lastModifiedBy>
  <cp:revision>163</cp:revision>
  <cp:lastPrinted>2008-01-31T07:09:00Z</cp:lastPrinted>
  <dcterms:created xsi:type="dcterms:W3CDTF">2016-02-19T13:50:00Z</dcterms:created>
  <dcterms:modified xsi:type="dcterms:W3CDTF">2016-09-30T17:51:00Z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2016-09-29T22:00:00Z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39;#3GPP|00000000-0000-0000-0000-000000000000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e42a8b39-83d3-49fc-a268-2c014ca63428</vt:lpwstr>
  </property>
</Properties>
</file>